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4FEE" w14:textId="77777777" w:rsidR="007529FD" w:rsidRPr="00732770" w:rsidRDefault="007529FD" w:rsidP="007529FD">
      <w:pPr>
        <w:spacing w:before="100" w:beforeAutospacing="1" w:after="100" w:afterAutospacing="1" w:line="240" w:lineRule="auto"/>
        <w:rPr>
          <w:rFonts w:ascii="Arial" w:eastAsia="Times New Roman" w:hAnsi="Arial" w:cs="Arial"/>
          <w:color w:val="000000"/>
          <w:lang w:eastAsia="es-CO"/>
        </w:rPr>
      </w:pPr>
      <w:r w:rsidRPr="00732770">
        <w:rPr>
          <w:rFonts w:ascii="Arial" w:eastAsia="Times New Roman" w:hAnsi="Arial" w:cs="Arial"/>
          <w:color w:val="000000"/>
          <w:lang w:eastAsia="es-CO"/>
        </w:rPr>
        <w:t>012100</w:t>
      </w:r>
    </w:p>
    <w:p w14:paraId="39F88AED" w14:textId="584C3648" w:rsidR="007529FD" w:rsidRPr="00732770" w:rsidRDefault="007529FD"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Bogotá D.C.</w:t>
      </w:r>
    </w:p>
    <w:p w14:paraId="7ECB40DE" w14:textId="77777777" w:rsidR="007755AA" w:rsidRPr="00732770" w:rsidRDefault="007755AA" w:rsidP="007529FD">
      <w:pPr>
        <w:spacing w:after="0" w:line="240" w:lineRule="auto"/>
        <w:rPr>
          <w:rFonts w:ascii="Arial" w:eastAsia="Times New Roman" w:hAnsi="Arial" w:cs="Arial"/>
          <w:color w:val="000000"/>
          <w:lang w:eastAsia="es-CO"/>
        </w:rPr>
      </w:pPr>
    </w:p>
    <w:p w14:paraId="27135C07" w14:textId="79C2704C" w:rsidR="007529FD" w:rsidRPr="00732770" w:rsidRDefault="00331205"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Honorable</w:t>
      </w:r>
      <w:r w:rsidR="007529FD" w:rsidRPr="00732770">
        <w:rPr>
          <w:rFonts w:ascii="Arial" w:eastAsia="Times New Roman" w:hAnsi="Arial" w:cs="Arial"/>
          <w:color w:val="000000"/>
          <w:lang w:eastAsia="es-CO"/>
        </w:rPr>
        <w:t xml:space="preserve"> Juez</w:t>
      </w:r>
    </w:p>
    <w:p w14:paraId="222A65A4" w14:textId="5F5392B0" w:rsidR="002B474C" w:rsidRPr="00732770" w:rsidRDefault="00CD2126" w:rsidP="002B474C">
      <w:pPr>
        <w:spacing w:after="0" w:line="240" w:lineRule="auto"/>
        <w:rPr>
          <w:rFonts w:ascii="Arial" w:eastAsia="Times New Roman" w:hAnsi="Arial" w:cs="Arial"/>
          <w:b/>
          <w:bCs/>
          <w:color w:val="000000"/>
          <w:lang w:eastAsia="es-CO"/>
        </w:rPr>
      </w:pPr>
      <w:r>
        <w:rPr>
          <w:rFonts w:ascii="Arial" w:eastAsia="Times New Roman" w:hAnsi="Arial" w:cs="Arial"/>
          <w:b/>
          <w:bCs/>
          <w:color w:val="000000"/>
          <w:lang w:eastAsia="es-CO"/>
        </w:rPr>
        <w:t>OSCAR DAVID GÓMEZ CALCETERO</w:t>
      </w:r>
    </w:p>
    <w:p w14:paraId="0DE546E8" w14:textId="2D3BF283" w:rsidR="002B474C" w:rsidRPr="00732770" w:rsidRDefault="00254066" w:rsidP="002B474C">
      <w:pPr>
        <w:spacing w:after="0" w:line="240" w:lineRule="auto"/>
        <w:rPr>
          <w:rFonts w:ascii="Arial" w:hAnsi="Arial" w:cs="Arial"/>
          <w:color w:val="000000"/>
        </w:rPr>
      </w:pPr>
      <w:r w:rsidRPr="00732770">
        <w:rPr>
          <w:rFonts w:ascii="Arial" w:hAnsi="Arial" w:cs="Arial"/>
          <w:color w:val="000000"/>
        </w:rPr>
        <w:t>Juzgado</w:t>
      </w:r>
      <w:r w:rsidR="003E4DD4" w:rsidRPr="00732770">
        <w:rPr>
          <w:rFonts w:ascii="Arial" w:hAnsi="Arial" w:cs="Arial"/>
          <w:color w:val="000000"/>
        </w:rPr>
        <w:t xml:space="preserve"> </w:t>
      </w:r>
      <w:r w:rsidR="00CD2126">
        <w:rPr>
          <w:rFonts w:ascii="Arial" w:hAnsi="Arial" w:cs="Arial"/>
          <w:color w:val="000000"/>
        </w:rPr>
        <w:t>58 Penal Municipal con Función de Control de Garantías</w:t>
      </w:r>
      <w:r w:rsidR="00FD0C6B" w:rsidRPr="00732770">
        <w:rPr>
          <w:rFonts w:ascii="Arial" w:hAnsi="Arial" w:cs="Arial"/>
          <w:color w:val="000000"/>
        </w:rPr>
        <w:t xml:space="preserve"> </w:t>
      </w:r>
      <w:r w:rsidR="00563AED" w:rsidRPr="00732770">
        <w:rPr>
          <w:rFonts w:ascii="Arial" w:hAnsi="Arial" w:cs="Arial"/>
          <w:color w:val="000000"/>
        </w:rPr>
        <w:t>de</w:t>
      </w:r>
      <w:r w:rsidR="00175C14" w:rsidRPr="00732770">
        <w:rPr>
          <w:rFonts w:ascii="Arial" w:hAnsi="Arial" w:cs="Arial"/>
          <w:color w:val="000000"/>
        </w:rPr>
        <w:t xml:space="preserve"> Bogotá D.C.</w:t>
      </w:r>
    </w:p>
    <w:p w14:paraId="175525DC" w14:textId="22901E40" w:rsidR="007529FD" w:rsidRPr="00732770" w:rsidRDefault="007529FD" w:rsidP="002B474C">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Ciudad</w:t>
      </w:r>
    </w:p>
    <w:p w14:paraId="63FFEBD7" w14:textId="77777777" w:rsidR="007529FD" w:rsidRPr="00732770" w:rsidRDefault="007529FD" w:rsidP="007529FD">
      <w:pPr>
        <w:spacing w:after="0" w:line="240" w:lineRule="auto"/>
        <w:rPr>
          <w:rFonts w:ascii="Arial" w:eastAsia="Times New Roman" w:hAnsi="Arial" w:cs="Arial"/>
          <w:color w:val="000000"/>
          <w:lang w:eastAsia="es-CO"/>
        </w:rPr>
      </w:pPr>
    </w:p>
    <w:p w14:paraId="7C9DE6A9" w14:textId="290B25A1" w:rsidR="00956459" w:rsidRPr="00732770" w:rsidRDefault="007529FD" w:rsidP="00956459">
      <w:pPr>
        <w:pStyle w:val="Default"/>
        <w:rPr>
          <w:sz w:val="22"/>
          <w:szCs w:val="22"/>
        </w:rPr>
      </w:pPr>
      <w:r w:rsidRPr="00732770">
        <w:rPr>
          <w:rFonts w:eastAsia="Times New Roman"/>
          <w:sz w:val="22"/>
          <w:szCs w:val="22"/>
          <w:lang w:eastAsia="es-CO"/>
        </w:rPr>
        <w:t xml:space="preserve">Asunto: </w:t>
      </w:r>
      <w:r w:rsidRPr="00732770">
        <w:rPr>
          <w:rFonts w:eastAsia="Times New Roman"/>
          <w:sz w:val="22"/>
          <w:szCs w:val="22"/>
          <w:lang w:eastAsia="es-CO"/>
        </w:rPr>
        <w:tab/>
      </w:r>
      <w:r w:rsidRPr="00732770">
        <w:rPr>
          <w:rFonts w:eastAsia="Times New Roman"/>
          <w:b/>
          <w:bCs/>
          <w:sz w:val="22"/>
          <w:szCs w:val="22"/>
          <w:lang w:eastAsia="es-CO"/>
        </w:rPr>
        <w:t xml:space="preserve">Acción de tutela No. </w:t>
      </w:r>
      <w:r w:rsidR="00254066" w:rsidRPr="00732770">
        <w:rPr>
          <w:b/>
          <w:bCs/>
          <w:sz w:val="22"/>
          <w:szCs w:val="22"/>
        </w:rPr>
        <w:t>202</w:t>
      </w:r>
      <w:r w:rsidR="00837A1A" w:rsidRPr="00732770">
        <w:rPr>
          <w:b/>
          <w:bCs/>
          <w:sz w:val="22"/>
          <w:szCs w:val="22"/>
        </w:rPr>
        <w:t>6</w:t>
      </w:r>
      <w:r w:rsidR="00254066" w:rsidRPr="00732770">
        <w:rPr>
          <w:b/>
          <w:bCs/>
          <w:sz w:val="22"/>
          <w:szCs w:val="22"/>
        </w:rPr>
        <w:t>-</w:t>
      </w:r>
      <w:r w:rsidR="00CD2126">
        <w:rPr>
          <w:b/>
          <w:bCs/>
          <w:sz w:val="22"/>
          <w:szCs w:val="22"/>
        </w:rPr>
        <w:t>00179</w:t>
      </w:r>
      <w:r w:rsidR="00563AED" w:rsidRPr="00732770">
        <w:rPr>
          <w:b/>
          <w:bCs/>
          <w:sz w:val="22"/>
          <w:szCs w:val="22"/>
        </w:rPr>
        <w:t>-00</w:t>
      </w:r>
    </w:p>
    <w:p w14:paraId="7EF55C20" w14:textId="1E3C3CAB" w:rsidR="002B474C" w:rsidRPr="00732770" w:rsidRDefault="007529FD" w:rsidP="004D672F">
      <w:pPr>
        <w:spacing w:after="0" w:line="240" w:lineRule="auto"/>
        <w:ind w:left="1410" w:hanging="1410"/>
        <w:rPr>
          <w:rFonts w:ascii="Arial" w:hAnsi="Arial" w:cs="Arial"/>
          <w:b/>
          <w:bCs/>
        </w:rPr>
      </w:pPr>
      <w:r w:rsidRPr="00732770">
        <w:rPr>
          <w:rFonts w:ascii="Arial" w:eastAsia="Times New Roman" w:hAnsi="Arial" w:cs="Arial"/>
          <w:color w:val="000000"/>
          <w:lang w:eastAsia="es-CO"/>
        </w:rPr>
        <w:t xml:space="preserve">Accionante: </w:t>
      </w:r>
      <w:r w:rsidRPr="00732770">
        <w:rPr>
          <w:rFonts w:ascii="Arial" w:eastAsia="Times New Roman" w:hAnsi="Arial" w:cs="Arial"/>
          <w:color w:val="000000"/>
          <w:lang w:eastAsia="es-CO"/>
        </w:rPr>
        <w:tab/>
      </w:r>
      <w:r w:rsidR="00CD2126">
        <w:rPr>
          <w:rFonts w:ascii="Arial" w:eastAsia="Times New Roman" w:hAnsi="Arial" w:cs="Arial"/>
          <w:b/>
          <w:color w:val="000000"/>
          <w:lang w:eastAsia="es-CO"/>
        </w:rPr>
        <w:t>Mabel Carmén Castañeda Estupiñán</w:t>
      </w:r>
    </w:p>
    <w:p w14:paraId="26EA3715" w14:textId="7CAC1C93" w:rsidR="007529FD" w:rsidRDefault="007529FD" w:rsidP="007755AA">
      <w:pPr>
        <w:pStyle w:val="Default"/>
        <w:ind w:left="1418" w:hanging="1418"/>
        <w:jc w:val="both"/>
        <w:rPr>
          <w:rFonts w:eastAsia="Times New Roman"/>
          <w:b/>
          <w:bCs/>
          <w:sz w:val="22"/>
          <w:szCs w:val="22"/>
          <w:lang w:eastAsia="es-CO"/>
        </w:rPr>
      </w:pPr>
      <w:r w:rsidRPr="00732770">
        <w:rPr>
          <w:rFonts w:eastAsia="Times New Roman"/>
          <w:sz w:val="22"/>
          <w:szCs w:val="22"/>
          <w:lang w:eastAsia="es-CO"/>
        </w:rPr>
        <w:t xml:space="preserve">Accionada: </w:t>
      </w:r>
      <w:r w:rsidR="003E4DD4" w:rsidRPr="00732770">
        <w:rPr>
          <w:rFonts w:eastAsia="Times New Roman"/>
          <w:sz w:val="22"/>
          <w:szCs w:val="22"/>
          <w:lang w:eastAsia="es-CO"/>
        </w:rPr>
        <w:tab/>
      </w:r>
      <w:r w:rsidR="00CD2126">
        <w:rPr>
          <w:rFonts w:eastAsia="Times New Roman"/>
          <w:b/>
          <w:bCs/>
          <w:sz w:val="22"/>
          <w:szCs w:val="22"/>
          <w:lang w:eastAsia="es-CO"/>
        </w:rPr>
        <w:t>Alcaldía Local de Puente Aranda</w:t>
      </w:r>
      <w:r w:rsidR="00AB0707">
        <w:rPr>
          <w:rFonts w:eastAsia="Times New Roman"/>
          <w:b/>
          <w:bCs/>
          <w:sz w:val="22"/>
          <w:szCs w:val="22"/>
          <w:lang w:eastAsia="es-CO"/>
        </w:rPr>
        <w:t>.</w:t>
      </w:r>
    </w:p>
    <w:p w14:paraId="7EBEB532" w14:textId="33B80B3F" w:rsidR="00CD2126" w:rsidRPr="00CD2126" w:rsidRDefault="00CD2126" w:rsidP="007755AA">
      <w:pPr>
        <w:pStyle w:val="Default"/>
        <w:ind w:left="1418" w:hanging="1418"/>
        <w:jc w:val="both"/>
        <w:rPr>
          <w:rFonts w:eastAsia="Times New Roman"/>
          <w:b/>
          <w:bCs/>
          <w:sz w:val="22"/>
          <w:szCs w:val="22"/>
          <w:lang w:eastAsia="es-CO"/>
        </w:rPr>
      </w:pPr>
      <w:r>
        <w:rPr>
          <w:rFonts w:eastAsia="Times New Roman"/>
          <w:sz w:val="22"/>
          <w:szCs w:val="22"/>
          <w:lang w:eastAsia="es-CO"/>
        </w:rPr>
        <w:t>Vinculadas:</w:t>
      </w:r>
      <w:r>
        <w:rPr>
          <w:rFonts w:eastAsia="Times New Roman"/>
          <w:sz w:val="22"/>
          <w:szCs w:val="22"/>
          <w:lang w:eastAsia="es-CO"/>
        </w:rPr>
        <w:tab/>
      </w:r>
      <w:r>
        <w:rPr>
          <w:rFonts w:eastAsia="Times New Roman"/>
          <w:b/>
          <w:bCs/>
          <w:sz w:val="22"/>
          <w:szCs w:val="22"/>
          <w:lang w:eastAsia="es-CO"/>
        </w:rPr>
        <w:t>Secretaría Distrital de Salud, Departamento Administrativo de la Defensoría del Espacio Público – DAEP, Alcaldía Distrital de Bogotá, y Otros.</w:t>
      </w:r>
    </w:p>
    <w:p w14:paraId="39A506AE" w14:textId="77777777" w:rsidR="00956459" w:rsidRDefault="00956459" w:rsidP="00DA2EC6">
      <w:pPr>
        <w:pStyle w:val="Default"/>
        <w:rPr>
          <w:rFonts w:eastAsia="Times New Roman"/>
          <w:sz w:val="22"/>
          <w:szCs w:val="22"/>
          <w:lang w:eastAsia="es-CO"/>
        </w:rPr>
      </w:pPr>
    </w:p>
    <w:p w14:paraId="0E07A469" w14:textId="77777777" w:rsidR="00AB0707" w:rsidRPr="00732770" w:rsidRDefault="00AB0707" w:rsidP="00DA2EC6">
      <w:pPr>
        <w:pStyle w:val="Default"/>
        <w:rPr>
          <w:rFonts w:eastAsia="Times New Roman"/>
          <w:sz w:val="22"/>
          <w:szCs w:val="22"/>
          <w:lang w:eastAsia="es-CO"/>
        </w:rPr>
      </w:pPr>
    </w:p>
    <w:p w14:paraId="51B5CD1D" w14:textId="0B295096" w:rsidR="007529FD" w:rsidRPr="00732770" w:rsidRDefault="002B474C" w:rsidP="007529FD">
      <w:pPr>
        <w:spacing w:after="0" w:line="240" w:lineRule="auto"/>
        <w:rPr>
          <w:rFonts w:ascii="Arial" w:eastAsia="Times New Roman" w:hAnsi="Arial" w:cs="Arial"/>
          <w:color w:val="000000"/>
          <w:lang w:eastAsia="es-CO"/>
        </w:rPr>
      </w:pPr>
      <w:r w:rsidRPr="00732770">
        <w:rPr>
          <w:rFonts w:ascii="Arial" w:eastAsia="Times New Roman" w:hAnsi="Arial" w:cs="Arial"/>
          <w:color w:val="000000"/>
          <w:lang w:eastAsia="es-CO"/>
        </w:rPr>
        <w:t>Respetad</w:t>
      </w:r>
      <w:r w:rsidR="009829F1">
        <w:rPr>
          <w:rFonts w:ascii="Arial" w:eastAsia="Times New Roman" w:hAnsi="Arial" w:cs="Arial"/>
          <w:color w:val="000000"/>
          <w:lang w:eastAsia="es-CO"/>
        </w:rPr>
        <w:t>o</w:t>
      </w:r>
      <w:r w:rsidR="007529FD" w:rsidRPr="00732770">
        <w:rPr>
          <w:rFonts w:ascii="Arial" w:eastAsia="Times New Roman" w:hAnsi="Arial" w:cs="Arial"/>
          <w:color w:val="000000"/>
          <w:lang w:eastAsia="es-CO"/>
        </w:rPr>
        <w:t xml:space="preserve"> señor </w:t>
      </w:r>
      <w:r w:rsidR="00254066" w:rsidRPr="00732770">
        <w:rPr>
          <w:rFonts w:ascii="Arial" w:eastAsia="Times New Roman" w:hAnsi="Arial" w:cs="Arial"/>
          <w:color w:val="000000"/>
          <w:lang w:eastAsia="es-CO"/>
        </w:rPr>
        <w:t xml:space="preserve">Juez: </w:t>
      </w:r>
    </w:p>
    <w:p w14:paraId="681E8BF8" w14:textId="77777777" w:rsidR="00844C11" w:rsidRPr="00732770" w:rsidRDefault="00844C11" w:rsidP="007529FD">
      <w:pPr>
        <w:spacing w:after="0" w:line="240" w:lineRule="auto"/>
        <w:jc w:val="center"/>
        <w:rPr>
          <w:rFonts w:ascii="Arial" w:eastAsia="Times New Roman" w:hAnsi="Arial" w:cs="Arial"/>
          <w:b/>
          <w:bCs/>
          <w:color w:val="000000"/>
          <w:lang w:eastAsia="es-CO"/>
        </w:rPr>
      </w:pPr>
    </w:p>
    <w:p w14:paraId="468AADD9" w14:textId="70397A87" w:rsidR="007529FD" w:rsidRPr="00732770" w:rsidRDefault="007529FD" w:rsidP="007529FD">
      <w:pPr>
        <w:spacing w:after="0" w:line="240" w:lineRule="auto"/>
        <w:jc w:val="center"/>
        <w:rPr>
          <w:rFonts w:ascii="Arial" w:eastAsia="Times New Roman" w:hAnsi="Arial" w:cs="Arial"/>
          <w:b/>
          <w:bCs/>
          <w:color w:val="000000"/>
          <w:u w:val="single"/>
          <w:lang w:eastAsia="es-CO"/>
        </w:rPr>
      </w:pPr>
      <w:r w:rsidRPr="00732770">
        <w:rPr>
          <w:rFonts w:ascii="Arial" w:eastAsia="Times New Roman" w:hAnsi="Arial" w:cs="Arial"/>
          <w:b/>
          <w:bCs/>
          <w:color w:val="000000"/>
          <w:u w:val="single"/>
          <w:lang w:eastAsia="es-CO"/>
        </w:rPr>
        <w:t>CONSIDERACIONES</w:t>
      </w:r>
    </w:p>
    <w:p w14:paraId="7426EFE5" w14:textId="77777777" w:rsidR="007529FD" w:rsidRPr="00732770" w:rsidRDefault="007529FD" w:rsidP="00AC4E0B">
      <w:pPr>
        <w:pStyle w:val="NormalWeb"/>
        <w:shd w:val="clear" w:color="auto" w:fill="FFFFFF"/>
        <w:spacing w:before="0" w:beforeAutospacing="0" w:after="0" w:afterAutospacing="0"/>
        <w:jc w:val="center"/>
        <w:rPr>
          <w:rFonts w:ascii="Arial" w:hAnsi="Arial" w:cs="Arial"/>
          <w:b/>
          <w:color w:val="000000"/>
          <w:sz w:val="22"/>
          <w:szCs w:val="22"/>
          <w:bdr w:val="none" w:sz="0" w:space="0" w:color="auto" w:frame="1"/>
        </w:rPr>
      </w:pPr>
    </w:p>
    <w:p w14:paraId="1C759640" w14:textId="044F7CD8"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 xml:space="preserve">De conformidad con el artículo 23 y 85 del Acuerdo 257 de 2006 expedido por el Concejo de Bogotá D.C., “Por el cual se dictan normas básicas sobre la estructura, organización y funcionamiento de los organismos y de las entidades de Bogotá, Distrito Capital, y se expiden otras disposiciones”, en concordancia con el artículo </w:t>
      </w:r>
      <w:r w:rsidR="00837A1A" w:rsidRPr="00732770">
        <w:rPr>
          <w:rFonts w:ascii="Arial" w:eastAsia="Times New Roman" w:hAnsi="Arial" w:cs="Arial"/>
          <w:color w:val="000000"/>
          <w:lang w:eastAsia="es-CO"/>
        </w:rPr>
        <w:t>3</w:t>
      </w:r>
      <w:r w:rsidRPr="00732770">
        <w:rPr>
          <w:rFonts w:ascii="Arial" w:eastAsia="Times New Roman" w:hAnsi="Arial" w:cs="Arial"/>
          <w:color w:val="000000"/>
          <w:lang w:eastAsia="es-CO"/>
        </w:rPr>
        <w:t xml:space="preserve">º del Decreto Distrital </w:t>
      </w:r>
      <w:r w:rsidR="00837A1A" w:rsidRPr="00732770">
        <w:rPr>
          <w:rFonts w:ascii="Arial" w:eastAsia="Times New Roman" w:hAnsi="Arial" w:cs="Arial"/>
          <w:color w:val="000000"/>
          <w:lang w:eastAsia="es-CO"/>
        </w:rPr>
        <w:t>641</w:t>
      </w:r>
      <w:r w:rsidRPr="00732770">
        <w:rPr>
          <w:rFonts w:ascii="Arial" w:eastAsia="Times New Roman" w:hAnsi="Arial" w:cs="Arial"/>
          <w:color w:val="000000"/>
          <w:lang w:eastAsia="es-CO"/>
        </w:rPr>
        <w:t xml:space="preserve"> de </w:t>
      </w:r>
      <w:r w:rsidR="00837A1A" w:rsidRPr="00732770">
        <w:rPr>
          <w:rFonts w:ascii="Arial" w:eastAsia="Times New Roman" w:hAnsi="Arial" w:cs="Arial"/>
          <w:color w:val="000000"/>
          <w:lang w:eastAsia="es-CO"/>
        </w:rPr>
        <w:t>2025,</w:t>
      </w:r>
      <w:r w:rsidRPr="00732770">
        <w:rPr>
          <w:rFonts w:ascii="Arial" w:eastAsia="Times New Roman" w:hAnsi="Arial" w:cs="Arial"/>
          <w:color w:val="000000"/>
          <w:lang w:eastAsia="es-CO"/>
        </w:rPr>
        <w:t xml:space="preserve"> </w:t>
      </w:r>
      <w:r w:rsidR="00837A1A" w:rsidRPr="00732770">
        <w:rPr>
          <w:rFonts w:ascii="Arial" w:eastAsia="Times New Roman" w:hAnsi="Arial" w:cs="Arial"/>
          <w:i/>
          <w:iCs/>
          <w:color w:val="000000"/>
          <w:lang w:eastAsia="es-CO"/>
        </w:rPr>
        <w:t>“Por medio del cual se expide el Decreto Único del Sector Salud”</w:t>
      </w:r>
      <w:r w:rsidR="00837A1A" w:rsidRPr="00732770">
        <w:rPr>
          <w:rFonts w:ascii="Arial" w:eastAsia="Times New Roman" w:hAnsi="Arial" w:cs="Arial"/>
          <w:color w:val="000000"/>
          <w:lang w:eastAsia="es-CO"/>
        </w:rPr>
        <w:t xml:space="preserve">, </w:t>
      </w:r>
      <w:r w:rsidRPr="00732770">
        <w:rPr>
          <w:rFonts w:ascii="Arial" w:eastAsia="Times New Roman" w:hAnsi="Arial" w:cs="Arial"/>
          <w:color w:val="000000"/>
          <w:lang w:eastAsia="es-CO"/>
        </w:rPr>
        <w:t>la Secretaría Distrital de Salud –SDS– es un organismo del Sector Central, la cual tiene por objeto orientar y liderar la formulación, adaptación, adopción e implementación de políticas, planes, programas, proyectos y estrategias conducentes a garantizar el derecho a la salud de los habitantes del Distrito Capital.</w:t>
      </w:r>
    </w:p>
    <w:p w14:paraId="6611E53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5792A819" w14:textId="50AB9E59" w:rsidR="00331205" w:rsidRPr="00732770" w:rsidRDefault="00837A1A"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El artículo 4</w:t>
      </w:r>
      <w:r w:rsidR="00331205" w:rsidRPr="00732770">
        <w:rPr>
          <w:rFonts w:ascii="Arial" w:eastAsia="Times New Roman" w:hAnsi="Arial" w:cs="Arial"/>
          <w:color w:val="000000"/>
          <w:lang w:eastAsia="es-CO"/>
        </w:rPr>
        <w:t xml:space="preserve">º del citado Decreto Distrital </w:t>
      </w:r>
      <w:r w:rsidRPr="00732770">
        <w:rPr>
          <w:rFonts w:ascii="Arial" w:eastAsia="Times New Roman" w:hAnsi="Arial" w:cs="Arial"/>
          <w:color w:val="000000"/>
          <w:lang w:eastAsia="es-CO"/>
        </w:rPr>
        <w:t>641</w:t>
      </w:r>
      <w:r w:rsidR="00331205" w:rsidRPr="00732770">
        <w:rPr>
          <w:rFonts w:ascii="Arial" w:eastAsia="Times New Roman" w:hAnsi="Arial" w:cs="Arial"/>
          <w:color w:val="000000"/>
          <w:lang w:eastAsia="es-CO"/>
        </w:rPr>
        <w:t xml:space="preserve"> de </w:t>
      </w:r>
      <w:r w:rsidRPr="00732770">
        <w:rPr>
          <w:rFonts w:ascii="Arial" w:eastAsia="Times New Roman" w:hAnsi="Arial" w:cs="Arial"/>
          <w:color w:val="000000"/>
          <w:lang w:eastAsia="es-CO"/>
        </w:rPr>
        <w:t>2025</w:t>
      </w:r>
      <w:r w:rsidR="00331205" w:rsidRPr="00732770">
        <w:rPr>
          <w:rFonts w:ascii="Arial" w:eastAsia="Times New Roman" w:hAnsi="Arial" w:cs="Arial"/>
          <w:color w:val="000000"/>
          <w:lang w:eastAsia="es-CO"/>
        </w:rPr>
        <w:t xml:space="preserve"> establece que a la Secretaría Distrital de Salud corresponde ejercer las siguientes funciones generales:</w:t>
      </w:r>
    </w:p>
    <w:p w14:paraId="3047A75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030BC074" w14:textId="77777777" w:rsidR="00837A1A" w:rsidRPr="00732770" w:rsidRDefault="00331205"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Fonts w:ascii="Arial" w:hAnsi="Arial" w:cs="Arial"/>
          <w:i/>
          <w:iCs/>
          <w:color w:val="000000"/>
          <w:sz w:val="22"/>
          <w:szCs w:val="22"/>
        </w:rPr>
        <w:t>“</w:t>
      </w:r>
      <w:r w:rsidR="00837A1A" w:rsidRPr="00732770">
        <w:rPr>
          <w:rStyle w:val="ninguno"/>
          <w:rFonts w:ascii="Arial" w:hAnsi="Arial" w:cs="Arial"/>
          <w:i/>
          <w:iCs/>
          <w:sz w:val="22"/>
          <w:szCs w:val="22"/>
          <w:bdr w:val="none" w:sz="0" w:space="0" w:color="auto" w:frame="1"/>
        </w:rPr>
        <w:t>1. Formular, ejecutar y evaluar las políticas, estrategias, planes, programas y proyectos del sector salud y del Sistema General de Seguridad Social en Salud de conformidad con las disposiciones legales.</w:t>
      </w:r>
    </w:p>
    <w:p w14:paraId="74E2E14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EEA4BE6" w14:textId="0DF6F33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“2. Dirigir, coordinar, vigilar y controlar el sector salud y el Sistema General de Seguridad Social en Salud en Bogotá, D.C.</w:t>
      </w:r>
    </w:p>
    <w:p w14:paraId="3D6E89F3"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54AF0F7C" w14:textId="0D20413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“3. Vigilar y controlar el cumplimiento de las políticas y normas técnicas, científicas y administrativas que expida el Ministerio de Salud y de la Protección Social, para garantizar el logro de las metas del sector salud y del Sistema General de Seguridad Social en Salud, sin perjuicio de las funciones de inspección, vigilancia y control atribuidas a las demás autoridades competentes.</w:t>
      </w:r>
    </w:p>
    <w:p w14:paraId="5AF1EA9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0DC10423" w14:textId="383771AF"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xml:space="preserve">“4. Administrar, controlar y supervisar los recursos propios, los cedidos por la Nación y los del Sistema General de Participaciones con destinación específica para salud y cualquier otro tipo de recursos que se generen con ocasión del </w:t>
      </w:r>
      <w:r w:rsidRPr="00732770">
        <w:rPr>
          <w:rStyle w:val="ninguno"/>
          <w:rFonts w:ascii="Arial" w:hAnsi="Arial" w:cs="Arial"/>
          <w:i/>
          <w:iCs/>
          <w:sz w:val="22"/>
          <w:szCs w:val="22"/>
          <w:bdr w:val="none" w:sz="0" w:space="0" w:color="auto" w:frame="1"/>
        </w:rPr>
        <w:lastRenderedPageBreak/>
        <w:t>cumplimiento de su naturaleza, objeto y funciones, garantizando siempre su correcta utilización, dentro del marco de la ley.</w:t>
      </w:r>
    </w:p>
    <w:p w14:paraId="40C87A6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660D548D" w14:textId="1860B6D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“5. Gestionar y prestar los servicios de salud prioritariamente a través de su red adscrita, de manera oportuna, eficiente y con calidad a la población pobre no asegurada que resida en su jurisdicción, en lo no cubierto con subsidios a la demanda.</w:t>
      </w:r>
    </w:p>
    <w:p w14:paraId="2871A4D4"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ACD194E" w14:textId="74760D49"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“6. Realizar las funciones de inspección, vigilancia y control en salud pública, aseguramiento y prestación del servicio de salud.</w:t>
      </w:r>
    </w:p>
    <w:p w14:paraId="1950995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44171D1B" w14:textId="0B393E4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“7. Formular y ejecutar el plan de atención básica y coordinar con los sectores y la comunidad las acciones que en salud pública se realicen para mejorar las condiciones de calidad de vida y salud de la población.</w:t>
      </w:r>
    </w:p>
    <w:p w14:paraId="45C47CBC"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DF20FAA" w14:textId="61E94D82"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“8. Coordinar, supervisar y controlar las acciones de salud pública que realicen en su jurisdicción las Entidades Promotoras de Salud - EPS, las Administradoras de Régimen Subsidiado - ARS, las entidades transformadas y adaptadas y aquellas que hacen parte de los regímenes especiales, así como las Instituciones Prestadoras de Servicios de Salud - IPS e instituciones relacionadas.</w:t>
      </w:r>
    </w:p>
    <w:p w14:paraId="6A4FBEA7"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1051FAF7" w14:textId="6AA1123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“9. Promover el aseguramiento de toda la población con énfasis en la población más pobre y vulnerable, al Sistema General de Seguridad Social en salud de acuerdo con lo establecido en el ordenamiento jurídico.</w:t>
      </w:r>
    </w:p>
    <w:p w14:paraId="34159798"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B656F19" w14:textId="148AD2EC"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“10. Mantener actualizadas las bases de datos de la población afiliada al régimen subsidiado y reportar dichas novedades a la Secretaria de Planeación y demás entidades competentes.</w:t>
      </w:r>
    </w:p>
    <w:p w14:paraId="3D63D37F"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39B57891" w14:textId="39F55FB1"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“11. Definir, vigilar y controlar la oferta de servicios de salud del Distrito Capital, con el fin de garantizar su calidad y funcionamiento según las necesidades de la población.</w:t>
      </w:r>
    </w:p>
    <w:p w14:paraId="01DF2CD2"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69C7151B" w14:textId="243FE6D6"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“12. Promover el aseguramiento de las poblaciones especiales conforme lo define la ley y las acciones en salud pública establecidas en el ordenamiento jurídico.</w:t>
      </w:r>
    </w:p>
    <w:p w14:paraId="15819C15"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 </w:t>
      </w:r>
    </w:p>
    <w:p w14:paraId="284D91FE" w14:textId="03891D05"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“13. Promover la coordinación de políticas con otros sectores, en particular hábitat, educación, planeación y medio ambiente, para incidir de manera integral en los determinantes de la salud y en la atención de la enfermedad.</w:t>
      </w:r>
    </w:p>
    <w:p w14:paraId="42E6983D" w14:textId="77777777"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color w:val="000000"/>
          <w:sz w:val="22"/>
          <w:szCs w:val="22"/>
          <w:bdr w:val="none" w:sz="0" w:space="0" w:color="auto" w:frame="1"/>
        </w:rPr>
        <w:t> </w:t>
      </w:r>
    </w:p>
    <w:p w14:paraId="236B2345" w14:textId="2DF89C34" w:rsidR="00837A1A" w:rsidRPr="00732770" w:rsidRDefault="00837A1A" w:rsidP="00837A1A">
      <w:pPr>
        <w:pStyle w:val="cuerpoa"/>
        <w:shd w:val="clear" w:color="auto" w:fill="FFFFFF"/>
        <w:spacing w:before="0" w:beforeAutospacing="0" w:after="0" w:afterAutospacing="0"/>
        <w:ind w:left="567" w:right="616"/>
        <w:jc w:val="both"/>
        <w:rPr>
          <w:rFonts w:ascii="Arial" w:hAnsi="Arial" w:cs="Arial"/>
          <w:i/>
          <w:iCs/>
          <w:color w:val="000000"/>
          <w:sz w:val="22"/>
          <w:szCs w:val="22"/>
        </w:rPr>
      </w:pPr>
      <w:r w:rsidRPr="00732770">
        <w:rPr>
          <w:rStyle w:val="ninguno"/>
          <w:rFonts w:ascii="Arial" w:hAnsi="Arial" w:cs="Arial"/>
          <w:i/>
          <w:iCs/>
          <w:sz w:val="22"/>
          <w:szCs w:val="22"/>
          <w:bdr w:val="none" w:sz="0" w:space="0" w:color="auto" w:frame="1"/>
        </w:rPr>
        <w:t>“</w:t>
      </w:r>
      <w:r w:rsidRPr="00732770">
        <w:rPr>
          <w:rStyle w:val="ninguno"/>
          <w:rFonts w:ascii="Arial" w:hAnsi="Arial" w:cs="Arial"/>
          <w:i/>
          <w:iCs/>
          <w:color w:val="000000"/>
          <w:sz w:val="22"/>
          <w:szCs w:val="22"/>
          <w:bdr w:val="none" w:sz="0" w:space="0" w:color="auto" w:frame="1"/>
        </w:rPr>
        <w:t>14. Implementar programas de prevención del consumo del alcohol, del tabaco y otras drogas y de rehabilitación y desintoxicación.”</w:t>
      </w:r>
    </w:p>
    <w:p w14:paraId="7E0D4BF4" w14:textId="6034D000" w:rsidR="00331205" w:rsidRPr="00732770" w:rsidRDefault="00331205" w:rsidP="00837A1A">
      <w:pPr>
        <w:spacing w:after="0" w:line="240" w:lineRule="auto"/>
        <w:ind w:left="567" w:right="616"/>
        <w:jc w:val="both"/>
        <w:rPr>
          <w:rFonts w:ascii="Arial" w:eastAsia="Times New Roman" w:hAnsi="Arial" w:cs="Arial"/>
          <w:color w:val="000000"/>
          <w:lang w:eastAsia="es-CO"/>
        </w:rPr>
      </w:pPr>
    </w:p>
    <w:p w14:paraId="4FF0C714" w14:textId="6DD94239" w:rsidR="007B1224"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De manera particular, el artículo </w:t>
      </w:r>
      <w:r w:rsidR="00837A1A" w:rsidRPr="00732770">
        <w:rPr>
          <w:rFonts w:ascii="Arial" w:eastAsia="Times New Roman" w:hAnsi="Arial" w:cs="Arial"/>
          <w:color w:val="000000"/>
          <w:lang w:eastAsia="es-CO"/>
        </w:rPr>
        <w:t>16</w:t>
      </w:r>
      <w:r w:rsidRPr="00732770">
        <w:rPr>
          <w:rFonts w:ascii="Arial" w:eastAsia="Times New Roman" w:hAnsi="Arial" w:cs="Arial"/>
          <w:color w:val="000000"/>
          <w:lang w:eastAsia="es-CO"/>
        </w:rPr>
        <w:t xml:space="preserve">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xml:space="preserve"> determina que a esta Entidad corresponde, por medio de la Subsecretaría de Salud Pública – Subdirección de Vigilancia en Salud Pública</w:t>
      </w:r>
      <w:r w:rsidRPr="00732770">
        <w:rPr>
          <w:rFonts w:ascii="Arial" w:eastAsia="Times New Roman" w:hAnsi="Arial" w:cs="Arial"/>
          <w:i/>
          <w:iCs/>
          <w:color w:val="000000"/>
          <w:lang w:eastAsia="es-CO"/>
        </w:rPr>
        <w:t>, “12. Cumplir y hacer cumplir las normas de orden sanitario previstas por la ley y normas sanitarias vigentes delegadas a la Secretaría”</w:t>
      </w:r>
      <w:r w:rsidRPr="00732770">
        <w:rPr>
          <w:rFonts w:ascii="Arial" w:eastAsia="Times New Roman" w:hAnsi="Arial" w:cs="Arial"/>
          <w:color w:val="000000"/>
          <w:lang w:eastAsia="es-CO"/>
        </w:rPr>
        <w:t>, así como</w:t>
      </w:r>
      <w:r w:rsidRPr="00732770">
        <w:rPr>
          <w:rFonts w:ascii="Arial" w:eastAsia="Times New Roman" w:hAnsi="Arial" w:cs="Arial"/>
          <w:i/>
          <w:iCs/>
          <w:color w:val="000000"/>
          <w:lang w:eastAsia="es-CO"/>
        </w:rPr>
        <w:t xml:space="preserve"> “13. Supervisar las acciones de vigilancia y control sanitario en el Distrito Capital”.</w:t>
      </w:r>
    </w:p>
    <w:p w14:paraId="14C50A26"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443DC3A2" w14:textId="77777777" w:rsidR="00FD0C6B" w:rsidRPr="00732770" w:rsidRDefault="00FD0C6B" w:rsidP="00FD0C6B">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lastRenderedPageBreak/>
        <w:t>Lo anterior, en concordancia con lo dispuesto en la Ley 715 de 2001, cuyo</w:t>
      </w:r>
      <w:r>
        <w:rPr>
          <w:rFonts w:ascii="Arial" w:eastAsia="Times New Roman" w:hAnsi="Arial" w:cs="Arial"/>
          <w:color w:val="000000"/>
          <w:lang w:eastAsia="es-CO"/>
        </w:rPr>
        <w:t>s</w:t>
      </w:r>
      <w:r w:rsidRPr="00732770">
        <w:rPr>
          <w:rFonts w:ascii="Arial" w:eastAsia="Times New Roman" w:hAnsi="Arial" w:cs="Arial"/>
          <w:color w:val="000000"/>
          <w:lang w:eastAsia="es-CO"/>
        </w:rPr>
        <w:t xml:space="preserve"> artículo</w:t>
      </w:r>
      <w:r>
        <w:rPr>
          <w:rFonts w:ascii="Arial" w:eastAsia="Times New Roman" w:hAnsi="Arial" w:cs="Arial"/>
          <w:color w:val="000000"/>
          <w:lang w:eastAsia="es-CO"/>
        </w:rPr>
        <w:t>s 43 y</w:t>
      </w:r>
      <w:r w:rsidRPr="00732770">
        <w:rPr>
          <w:rFonts w:ascii="Arial" w:eastAsia="Times New Roman" w:hAnsi="Arial" w:cs="Arial"/>
          <w:color w:val="000000"/>
          <w:lang w:eastAsia="es-CO"/>
        </w:rPr>
        <w:t xml:space="preserve"> 44 otorga</w:t>
      </w:r>
      <w:r>
        <w:rPr>
          <w:rFonts w:ascii="Arial" w:eastAsia="Times New Roman" w:hAnsi="Arial" w:cs="Arial"/>
          <w:color w:val="000000"/>
          <w:lang w:eastAsia="es-CO"/>
        </w:rPr>
        <w:t>n</w:t>
      </w:r>
      <w:r w:rsidRPr="00732770">
        <w:rPr>
          <w:rFonts w:ascii="Arial" w:eastAsia="Times New Roman" w:hAnsi="Arial" w:cs="Arial"/>
          <w:color w:val="000000"/>
          <w:lang w:eastAsia="es-CO"/>
        </w:rPr>
        <w:t xml:space="preserve"> las siguientes competencias en materia de salud pública a los entes territoriales:  </w:t>
      </w:r>
    </w:p>
    <w:p w14:paraId="18C721AF" w14:textId="77777777" w:rsidR="00331205" w:rsidRDefault="00331205" w:rsidP="00331205">
      <w:pPr>
        <w:spacing w:after="0" w:line="240" w:lineRule="auto"/>
        <w:ind w:right="616"/>
        <w:jc w:val="both"/>
        <w:rPr>
          <w:rFonts w:ascii="Arial" w:eastAsia="Times New Roman" w:hAnsi="Arial" w:cs="Arial"/>
          <w:i/>
          <w:iCs/>
          <w:color w:val="000000"/>
          <w:lang w:eastAsia="es-CO"/>
        </w:rPr>
      </w:pPr>
    </w:p>
    <w:p w14:paraId="0BFA3CD9"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r w:rsidRPr="009C2610">
        <w:rPr>
          <w:rFonts w:ascii="Arial" w:eastAsia="Times New Roman" w:hAnsi="Arial" w:cs="Arial"/>
          <w:b/>
          <w:bCs/>
          <w:i/>
          <w:iCs/>
          <w:color w:val="000000"/>
          <w:lang w:eastAsia="es-CO"/>
        </w:rPr>
        <w:t xml:space="preserve">“ARTÍCULO 43. COMPETENCIAS DE LOS DEPARTAMENTOS EN SALUD. </w:t>
      </w:r>
      <w:r w:rsidRPr="009C2610">
        <w:rPr>
          <w:rFonts w:ascii="Arial" w:eastAsia="Times New Roman" w:hAnsi="Arial" w:cs="Arial"/>
          <w:i/>
          <w:iCs/>
          <w:color w:val="000000"/>
          <w:lang w:eastAsia="es-CO"/>
        </w:rPr>
        <w:t>Sin perjuicio de las competencias establecidas en otras disposiciones legales, corresponde a los departamentos dirigir, coordinar y vigilar el sector salud y el Sistema General de Seguridad Social en Salud en el territorio de su jurisdicción, atendiendo las disposiciones nacionales sobre la materia. Para tal efecto, se le asignarán las siguientes funciones</w:t>
      </w:r>
    </w:p>
    <w:p w14:paraId="19FCFF11"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p>
    <w:p w14:paraId="19D1E56D"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r w:rsidRPr="009C2610">
        <w:rPr>
          <w:rFonts w:ascii="Arial" w:eastAsia="Times New Roman" w:hAnsi="Arial" w:cs="Arial"/>
          <w:i/>
          <w:iCs/>
          <w:color w:val="000000"/>
          <w:lang w:eastAsia="es-CO"/>
        </w:rPr>
        <w:t>“(…)</w:t>
      </w:r>
    </w:p>
    <w:p w14:paraId="245B4D8F"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p>
    <w:p w14:paraId="5DBB1AF3"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r w:rsidRPr="009C2610">
        <w:rPr>
          <w:rFonts w:ascii="Arial" w:eastAsia="Times New Roman" w:hAnsi="Arial" w:cs="Arial"/>
          <w:i/>
          <w:iCs/>
          <w:color w:val="000000"/>
          <w:lang w:eastAsia="es-CO"/>
        </w:rPr>
        <w:t>“43.3. De Salud Pública</w:t>
      </w:r>
    </w:p>
    <w:p w14:paraId="6E05B85D" w14:textId="77777777"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p>
    <w:p w14:paraId="6C7EAAB0" w14:textId="77777777" w:rsidR="00FD0C6B" w:rsidRDefault="00FD0C6B" w:rsidP="00FD0C6B">
      <w:pPr>
        <w:spacing w:after="0" w:line="240" w:lineRule="auto"/>
        <w:ind w:left="567" w:right="616"/>
        <w:jc w:val="both"/>
        <w:rPr>
          <w:rFonts w:ascii="Arial" w:eastAsia="Times New Roman" w:hAnsi="Arial" w:cs="Arial"/>
          <w:i/>
          <w:iCs/>
          <w:color w:val="000000"/>
          <w:lang w:eastAsia="es-CO"/>
        </w:rPr>
      </w:pPr>
      <w:r w:rsidRPr="009C2610">
        <w:rPr>
          <w:rFonts w:ascii="Arial" w:eastAsia="Times New Roman" w:hAnsi="Arial" w:cs="Arial"/>
          <w:i/>
          <w:iCs/>
          <w:color w:val="000000"/>
          <w:lang w:eastAsia="es-CO"/>
        </w:rPr>
        <w:t>“(…)</w:t>
      </w:r>
    </w:p>
    <w:p w14:paraId="3422E18D" w14:textId="77777777" w:rsidR="00FD0C6B" w:rsidRDefault="00FD0C6B" w:rsidP="00FD0C6B">
      <w:pPr>
        <w:spacing w:after="0" w:line="240" w:lineRule="auto"/>
        <w:ind w:left="567" w:right="616"/>
        <w:jc w:val="both"/>
        <w:rPr>
          <w:rFonts w:ascii="Arial" w:eastAsia="Times New Roman" w:hAnsi="Arial" w:cs="Arial"/>
          <w:i/>
          <w:iCs/>
          <w:color w:val="000000"/>
          <w:lang w:eastAsia="es-CO"/>
        </w:rPr>
      </w:pPr>
    </w:p>
    <w:p w14:paraId="0D7CEE44" w14:textId="075FFE73" w:rsidR="00FD0C6B" w:rsidRDefault="00FD0C6B" w:rsidP="00FD0C6B">
      <w:pPr>
        <w:spacing w:after="0" w:line="240" w:lineRule="auto"/>
        <w:ind w:left="567" w:right="616"/>
        <w:jc w:val="both"/>
        <w:rPr>
          <w:rFonts w:ascii="Arial" w:eastAsia="Times New Roman" w:hAnsi="Arial" w:cs="Arial"/>
          <w:i/>
          <w:iCs/>
          <w:color w:val="000000"/>
          <w:lang w:eastAsia="es-CO"/>
        </w:rPr>
      </w:pPr>
      <w:r>
        <w:rPr>
          <w:rFonts w:ascii="Arial" w:eastAsia="Times New Roman" w:hAnsi="Arial" w:cs="Arial"/>
          <w:i/>
          <w:iCs/>
          <w:color w:val="000000"/>
          <w:lang w:eastAsia="es-CO"/>
        </w:rPr>
        <w:t>“</w:t>
      </w:r>
      <w:r w:rsidRPr="00FD0C6B">
        <w:rPr>
          <w:rFonts w:ascii="Arial" w:eastAsia="Times New Roman" w:hAnsi="Arial" w:cs="Arial"/>
          <w:i/>
          <w:iCs/>
          <w:color w:val="000000"/>
          <w:lang w:eastAsia="es-CO"/>
        </w:rPr>
        <w:t>43.3.6. Dirigir y controlar dentro de su jurisdicción el Sistema de Vigilancia en Salud Pública.</w:t>
      </w:r>
    </w:p>
    <w:p w14:paraId="5BC1A539" w14:textId="77777777" w:rsidR="00FD0C6B" w:rsidRDefault="00FD0C6B" w:rsidP="00FD0C6B">
      <w:pPr>
        <w:spacing w:after="0" w:line="240" w:lineRule="auto"/>
        <w:ind w:left="567" w:right="616"/>
        <w:jc w:val="both"/>
        <w:rPr>
          <w:rFonts w:ascii="Arial" w:eastAsia="Times New Roman" w:hAnsi="Arial" w:cs="Arial"/>
          <w:i/>
          <w:iCs/>
          <w:color w:val="000000"/>
          <w:lang w:eastAsia="es-CO"/>
        </w:rPr>
      </w:pPr>
    </w:p>
    <w:p w14:paraId="3CE25ECA" w14:textId="35E412CE" w:rsidR="00FD0C6B" w:rsidRPr="009C2610" w:rsidRDefault="00FD0C6B" w:rsidP="00FD0C6B">
      <w:pPr>
        <w:spacing w:after="0" w:line="240" w:lineRule="auto"/>
        <w:ind w:left="567" w:right="616"/>
        <w:jc w:val="both"/>
        <w:rPr>
          <w:rFonts w:ascii="Arial" w:eastAsia="Times New Roman" w:hAnsi="Arial" w:cs="Arial"/>
          <w:i/>
          <w:iCs/>
          <w:color w:val="000000"/>
          <w:lang w:eastAsia="es-CO"/>
        </w:rPr>
      </w:pPr>
      <w:r>
        <w:rPr>
          <w:rFonts w:ascii="Arial" w:eastAsia="Times New Roman" w:hAnsi="Arial" w:cs="Arial"/>
          <w:i/>
          <w:iCs/>
          <w:color w:val="000000"/>
          <w:lang w:eastAsia="es-CO"/>
        </w:rPr>
        <w:t>“</w:t>
      </w:r>
      <w:r w:rsidRPr="00FD0C6B">
        <w:rPr>
          <w:rFonts w:ascii="Arial" w:eastAsia="Times New Roman" w:hAnsi="Arial" w:cs="Arial"/>
          <w:i/>
          <w:iCs/>
          <w:color w:val="000000"/>
          <w:lang w:eastAsia="es-CO"/>
        </w:rPr>
        <w:t>43.3.8. Ejecutar las acciones de inspección, vigilancia y control de los factores de riesgo del ambiente que afectan la salud humana, y de control de vectores y zoonosis de competencia del sector salud, en coordinación con las autoridades ambientales, en los corregimientos departamentales y en los municipios de categorías 4, 5 y 6 de su jurisdicción.</w:t>
      </w:r>
    </w:p>
    <w:p w14:paraId="33EC515D" w14:textId="77777777" w:rsidR="00FD0C6B" w:rsidRPr="00732770" w:rsidRDefault="00FD0C6B" w:rsidP="00331205">
      <w:pPr>
        <w:spacing w:after="0" w:line="240" w:lineRule="auto"/>
        <w:ind w:right="616"/>
        <w:jc w:val="both"/>
        <w:rPr>
          <w:rFonts w:ascii="Arial" w:eastAsia="Times New Roman" w:hAnsi="Arial" w:cs="Arial"/>
          <w:i/>
          <w:iCs/>
          <w:color w:val="000000"/>
          <w:lang w:eastAsia="es-CO"/>
        </w:rPr>
      </w:pPr>
    </w:p>
    <w:p w14:paraId="2A640699"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b/>
          <w:bCs/>
          <w:i/>
          <w:iCs/>
          <w:color w:val="000000"/>
          <w:lang w:eastAsia="es-CO"/>
        </w:rPr>
        <w:t>“ARTÍCULO 44. COMPETENCIAS DE LOS MUNICIPIOS.</w:t>
      </w:r>
      <w:r w:rsidRPr="00732770">
        <w:rPr>
          <w:rFonts w:ascii="Arial" w:eastAsia="Times New Roman" w:hAnsi="Arial" w:cs="Arial"/>
          <w:i/>
          <w:iCs/>
          <w:color w:val="000000"/>
          <w:lang w:eastAsia="es-CO"/>
        </w:rPr>
        <w:t xml:space="preserve"> Corresponde a los municipios dirigir y coordinar el sector salud y el Sistema General de Seguridad Social en Salud en el ámbito de su jurisdicción, para lo cual cumplirán las siguientes funciones, sin perjuicio de las asignadas en otras disposiciones:</w:t>
      </w:r>
    </w:p>
    <w:p w14:paraId="5A5DF51F"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i/>
          <w:iCs/>
          <w:color w:val="000000"/>
          <w:lang w:eastAsia="es-CO"/>
        </w:rPr>
        <w:t>“(…)</w:t>
      </w:r>
    </w:p>
    <w:p w14:paraId="6191826C"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p>
    <w:p w14:paraId="2645531C"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i/>
          <w:iCs/>
          <w:color w:val="000000"/>
          <w:lang w:eastAsia="es-CO"/>
        </w:rPr>
        <w:t>“44.3. De Salud Pública</w:t>
      </w:r>
    </w:p>
    <w:p w14:paraId="4C9225E6"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p>
    <w:p w14:paraId="1DC4C265" w14:textId="77777777" w:rsidR="00331205" w:rsidRDefault="00331205"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i/>
          <w:iCs/>
          <w:color w:val="000000"/>
          <w:lang w:eastAsia="es-CO"/>
        </w:rPr>
        <w:t>“(…)</w:t>
      </w:r>
    </w:p>
    <w:p w14:paraId="488B61B6" w14:textId="77777777" w:rsidR="00695875" w:rsidRDefault="00695875" w:rsidP="00331205">
      <w:pPr>
        <w:spacing w:after="0" w:line="240" w:lineRule="auto"/>
        <w:ind w:left="567" w:right="616"/>
        <w:jc w:val="both"/>
        <w:rPr>
          <w:rFonts w:ascii="Arial" w:eastAsia="Times New Roman" w:hAnsi="Arial" w:cs="Arial"/>
          <w:i/>
          <w:iCs/>
          <w:color w:val="000000"/>
          <w:lang w:eastAsia="es-CO"/>
        </w:rPr>
      </w:pPr>
    </w:p>
    <w:p w14:paraId="2B4AD392" w14:textId="1C842B04" w:rsidR="00695875" w:rsidRDefault="00695875" w:rsidP="00331205">
      <w:pPr>
        <w:spacing w:after="0" w:line="240" w:lineRule="auto"/>
        <w:ind w:left="567" w:right="616"/>
        <w:jc w:val="both"/>
        <w:rPr>
          <w:rFonts w:ascii="Arial" w:eastAsia="Times New Roman" w:hAnsi="Arial" w:cs="Arial"/>
          <w:i/>
          <w:iCs/>
          <w:color w:val="000000"/>
          <w:lang w:eastAsia="es-CO"/>
        </w:rPr>
      </w:pPr>
      <w:r>
        <w:rPr>
          <w:rFonts w:ascii="Arial" w:eastAsia="Times New Roman" w:hAnsi="Arial" w:cs="Arial"/>
          <w:i/>
          <w:iCs/>
          <w:color w:val="000000"/>
          <w:lang w:eastAsia="es-CO"/>
        </w:rPr>
        <w:t>“</w:t>
      </w:r>
      <w:r w:rsidRPr="00695875">
        <w:rPr>
          <w:rFonts w:ascii="Arial" w:eastAsia="Times New Roman" w:hAnsi="Arial" w:cs="Arial"/>
          <w:i/>
          <w:iCs/>
          <w:color w:val="000000"/>
          <w:lang w:eastAsia="es-CO"/>
        </w:rPr>
        <w:t>44.3.3.1. Vigilar y controlar en su jurisdicción, la calidad, producción, comercialización y distribución de alimentos para consumo humano, con prioridad en los de alto riesgo epidemiológico, así como los de materia prima para consumo animal que representen riesgo para la salud humana.</w:t>
      </w:r>
    </w:p>
    <w:p w14:paraId="703C68FE" w14:textId="77777777" w:rsidR="00CD2126" w:rsidRDefault="00CD2126" w:rsidP="00331205">
      <w:pPr>
        <w:spacing w:after="0" w:line="240" w:lineRule="auto"/>
        <w:ind w:left="567" w:right="616"/>
        <w:jc w:val="both"/>
        <w:rPr>
          <w:rFonts w:ascii="Arial" w:eastAsia="Times New Roman" w:hAnsi="Arial" w:cs="Arial"/>
          <w:i/>
          <w:iCs/>
          <w:color w:val="000000"/>
          <w:lang w:eastAsia="es-CO"/>
        </w:rPr>
      </w:pPr>
    </w:p>
    <w:p w14:paraId="5EC08ED5" w14:textId="67F9F353" w:rsidR="00CD2126" w:rsidRPr="00732770" w:rsidRDefault="00CD2126" w:rsidP="00331205">
      <w:pPr>
        <w:spacing w:after="0" w:line="240" w:lineRule="auto"/>
        <w:ind w:left="567" w:right="616"/>
        <w:jc w:val="both"/>
        <w:rPr>
          <w:rFonts w:ascii="Arial" w:eastAsia="Times New Roman" w:hAnsi="Arial" w:cs="Arial"/>
          <w:i/>
          <w:iCs/>
          <w:color w:val="000000"/>
          <w:lang w:eastAsia="es-CO"/>
        </w:rPr>
      </w:pPr>
      <w:r>
        <w:rPr>
          <w:rFonts w:ascii="Arial" w:eastAsia="Times New Roman" w:hAnsi="Arial" w:cs="Arial"/>
          <w:i/>
          <w:iCs/>
          <w:color w:val="000000"/>
          <w:lang w:eastAsia="es-CO"/>
        </w:rPr>
        <w:t>“</w:t>
      </w:r>
      <w:r w:rsidRPr="00CD2126">
        <w:rPr>
          <w:rFonts w:ascii="Arial" w:eastAsia="Times New Roman" w:hAnsi="Arial" w:cs="Arial"/>
          <w:i/>
          <w:iCs/>
          <w:color w:val="000000"/>
          <w:lang w:eastAsia="es-CO"/>
        </w:rPr>
        <w:t>44.3.4. Formular y ejecutar las acciones de promoción, prevención, vigilancia y control de vectores y zoonosis.</w:t>
      </w:r>
    </w:p>
    <w:p w14:paraId="7D859CC7" w14:textId="77777777" w:rsidR="007B1224" w:rsidRPr="00732770" w:rsidRDefault="007B1224" w:rsidP="0025180B">
      <w:pPr>
        <w:spacing w:after="0" w:line="240" w:lineRule="auto"/>
        <w:ind w:right="616"/>
        <w:jc w:val="both"/>
        <w:rPr>
          <w:rFonts w:ascii="Arial" w:eastAsia="Times New Roman" w:hAnsi="Arial" w:cs="Arial"/>
          <w:i/>
          <w:iCs/>
          <w:color w:val="000000"/>
          <w:lang w:eastAsia="es-CO"/>
        </w:rPr>
      </w:pPr>
    </w:p>
    <w:p w14:paraId="7B30BF2C" w14:textId="072A9965" w:rsidR="00331205" w:rsidRPr="00732770" w:rsidRDefault="007B1224"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i/>
          <w:iCs/>
          <w:color w:val="000000"/>
          <w:lang w:eastAsia="es-CO"/>
        </w:rPr>
        <w:t>“</w:t>
      </w:r>
      <w:r w:rsidR="00331205" w:rsidRPr="00732770">
        <w:rPr>
          <w:rFonts w:ascii="Arial" w:eastAsia="Times New Roman" w:hAnsi="Arial" w:cs="Arial"/>
          <w:i/>
          <w:iCs/>
          <w:color w:val="000000"/>
          <w:lang w:eastAsia="es-CO"/>
        </w:rPr>
        <w:t>44.3.5. Ejercer vigilancia y control sanitario en su jurisdicción, sobre los factores de riesgo para la salud, en los establecimientos y espacios que puedan generar riesgos para la población, tales como establecimientos educativos, hospitales, cárceles, cuarteles, albergues, guarderías, ancianatos, puertos, aeropuertos y terminales terrestres, transporte público, piscinas, estadios, coliseos, gimnasios, bares, tabernas, supermercados y similares, plazas de mercado, de abasto público y plantas de sacrificio de animales, entre otros.</w:t>
      </w:r>
    </w:p>
    <w:p w14:paraId="1822EF93"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p>
    <w:p w14:paraId="0F4DA628" w14:textId="77777777" w:rsidR="00331205" w:rsidRPr="00732770" w:rsidRDefault="00331205" w:rsidP="00331205">
      <w:pPr>
        <w:spacing w:after="0" w:line="240" w:lineRule="auto"/>
        <w:ind w:left="567" w:right="616"/>
        <w:jc w:val="both"/>
        <w:rPr>
          <w:rFonts w:ascii="Arial" w:eastAsia="Times New Roman" w:hAnsi="Arial" w:cs="Arial"/>
          <w:i/>
          <w:iCs/>
          <w:color w:val="000000"/>
          <w:lang w:eastAsia="es-CO"/>
        </w:rPr>
      </w:pPr>
      <w:r w:rsidRPr="00732770">
        <w:rPr>
          <w:rFonts w:ascii="Arial" w:eastAsia="Times New Roman" w:hAnsi="Arial" w:cs="Arial"/>
          <w:i/>
          <w:iCs/>
          <w:color w:val="000000"/>
          <w:lang w:eastAsia="es-CO"/>
        </w:rPr>
        <w:lastRenderedPageBreak/>
        <w:t>“44.3.6. Cumplir y hacer cumplir en su jurisdicción las normas de orden sanitario previstas en la Ley 9 de 1979 y su reglamentación o las que la modifiquen, adicionen o sustituyan.”</w:t>
      </w:r>
    </w:p>
    <w:p w14:paraId="30EC1883"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6C75141B" w14:textId="77777777" w:rsidR="00331205" w:rsidRPr="00732770" w:rsidRDefault="00331205" w:rsidP="00331205">
      <w:pPr>
        <w:spacing w:after="0" w:line="240" w:lineRule="auto"/>
        <w:jc w:val="both"/>
        <w:rPr>
          <w:rFonts w:ascii="Arial" w:eastAsia="Times New Roman" w:hAnsi="Arial" w:cs="Arial"/>
          <w:i/>
          <w:iCs/>
          <w:color w:val="000000"/>
          <w:lang w:eastAsia="es-CO"/>
        </w:rPr>
      </w:pPr>
      <w:r w:rsidRPr="00732770">
        <w:rPr>
          <w:rFonts w:ascii="Arial" w:eastAsia="Times New Roman" w:hAnsi="Arial" w:cs="Arial"/>
          <w:color w:val="000000"/>
          <w:lang w:eastAsia="es-CO"/>
        </w:rPr>
        <w:t xml:space="preserve">Cabe aclarar que, por virtud del artículo 45 </w:t>
      </w:r>
      <w:r w:rsidRPr="00732770">
        <w:rPr>
          <w:rFonts w:ascii="Arial" w:eastAsia="Times New Roman" w:hAnsi="Arial" w:cs="Arial"/>
          <w:i/>
          <w:iCs/>
          <w:color w:val="000000"/>
          <w:lang w:eastAsia="es-CO"/>
        </w:rPr>
        <w:t>ibidem</w:t>
      </w:r>
      <w:r w:rsidRPr="00732770">
        <w:rPr>
          <w:rFonts w:ascii="Arial" w:eastAsia="Times New Roman" w:hAnsi="Arial" w:cs="Arial"/>
          <w:color w:val="000000"/>
          <w:lang w:eastAsia="es-CO"/>
        </w:rPr>
        <w:t>, los Distritos cuentan con “</w:t>
      </w:r>
      <w:r w:rsidRPr="00732770">
        <w:rPr>
          <w:rFonts w:ascii="Arial" w:eastAsia="Times New Roman" w:hAnsi="Arial" w:cs="Arial"/>
          <w:i/>
          <w:iCs/>
          <w:color w:val="000000"/>
          <w:lang w:eastAsia="es-CO"/>
        </w:rPr>
        <w:t>las mismas competencias que los municipios y departamentos, excepto aquellas que correspondan a la función de intermediación entre los municipios y la Nación …”</w:t>
      </w:r>
    </w:p>
    <w:p w14:paraId="62914AB0"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AEB3DF1"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En lo que respecta a la inspección, vigilancia y control sanitario, la Secretaría Distrital de Salud adelanta –a través de las cuatro (4) Subredes Integradas de Servicios de Salud E.S.E.–, visitas de verificación a los establecimientos que ofrezcan bienes y servicios, mediante Inspectores Sanitarios encargados de verificar las condiciones higiénico-sanitarias en que estas desarrollan sus actividades, y que incluyen: edificaciones e instalaciones; equipos y utensilios; personal manipulador de alimentos; requisitos higiénicos; almacenamiento; áreas y capacidad instalada del establecimiento; métodos de conservación, saneamiento y manipulación.</w:t>
      </w:r>
    </w:p>
    <w:p w14:paraId="2DB437FE"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75D4E569"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Así pues, al desarrollar una actividad económica que pueda llegar a generar riesgos sanitarios a la comunidad, corresponde a los Inspectores Sanitarios evaluar las condiciones higiénico-sanitarias evidenciadas durante la visita de inspección, vigilancia y control y, dependiendo de la situación encontrada, se emite un concepto sanitario el cual puede ser:</w:t>
      </w:r>
    </w:p>
    <w:p w14:paraId="0371DAB2"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41DF815B"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w:t>
      </w:r>
      <w:r w:rsidRPr="00732770">
        <w:rPr>
          <w:rFonts w:ascii="Arial" w:eastAsia="Times New Roman" w:hAnsi="Arial" w:cs="Arial"/>
          <w:color w:val="000000"/>
          <w:lang w:eastAsia="es-CO"/>
        </w:rPr>
        <w:t xml:space="preserve"> si cumple con todo lo establecido en la norma sanitaria vigente.</w:t>
      </w:r>
    </w:p>
    <w:p w14:paraId="36725DB8"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5C8237A1"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Favorable con requerimiento:</w:t>
      </w:r>
      <w:r w:rsidRPr="00732770">
        <w:rPr>
          <w:rFonts w:ascii="Arial" w:eastAsia="Times New Roman" w:hAnsi="Arial" w:cs="Arial"/>
          <w:color w:val="000000"/>
          <w:lang w:eastAsia="es-CO"/>
        </w:rPr>
        <w:t xml:space="preserve"> cuando se incumplen los requisitos exigidos en la normatividad sanitaria y no ofrece riesgo para la salud pública.</w:t>
      </w:r>
    </w:p>
    <w:p w14:paraId="0A9D08E3"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56AA76F" w14:textId="77777777" w:rsidR="00331205" w:rsidRPr="00732770" w:rsidRDefault="00331205" w:rsidP="00331205">
      <w:pPr>
        <w:pStyle w:val="Prrafodelista"/>
        <w:numPr>
          <w:ilvl w:val="0"/>
          <w:numId w:val="12"/>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Desfavorable:</w:t>
      </w:r>
      <w:r w:rsidRPr="00732770">
        <w:rPr>
          <w:rFonts w:ascii="Arial" w:eastAsia="Times New Roman" w:hAnsi="Arial" w:cs="Arial"/>
          <w:color w:val="000000"/>
          <w:lang w:eastAsia="es-CO"/>
        </w:rPr>
        <w:t xml:space="preserve"> si incumple con lo establecido en la norma sanitaria vigente.</w:t>
      </w:r>
    </w:p>
    <w:p w14:paraId="27A6254B"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2BF16B2A" w14:textId="77777777" w:rsidR="00331205" w:rsidRPr="00732770" w:rsidRDefault="00331205" w:rsidP="00331205">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Cuando se evidencia alguna situación crítica que pueda generar riesgo a la salud pública, se imponen las medidas sanitarias de seguridad –MSS– de que trata el artículo 576 de Ley 09 de 1979, que son de inmediata ejecución, tienen carácter preventivo y transitorio, y se aplican sin perjuicio de las sanciones administrativas a que haya a lugar, a saber:</w:t>
      </w:r>
    </w:p>
    <w:p w14:paraId="67A8F795"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582EFA5A" w14:textId="77777777" w:rsidR="00331205" w:rsidRPr="00732770"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Clausura temporal total o parcial:</w:t>
      </w:r>
      <w:r w:rsidRPr="00732770">
        <w:rPr>
          <w:rFonts w:ascii="Arial" w:eastAsia="Times New Roman" w:hAnsi="Arial" w:cs="Arial"/>
          <w:color w:val="000000"/>
          <w:lang w:eastAsia="es-CO"/>
        </w:rPr>
        <w:t xml:space="preserve"> Consiste en impedir temporalmente el funcionamiento de una fábrica, depósito, expendio o establecimiento de consumo de alimentos, o una de sus áreas cuando se considere que está causando un problema sanitario; medida que se adopta a través de la respectiva imposición de sellos en los que se exprese la leyenda "clausurado temporal, total o parcialmente, hasta nueva orden impartida por la autoridad sanitaria".</w:t>
      </w:r>
    </w:p>
    <w:p w14:paraId="1D4725C4" w14:textId="77777777" w:rsidR="00331205" w:rsidRPr="00732770" w:rsidRDefault="00331205" w:rsidP="00331205">
      <w:pPr>
        <w:pStyle w:val="Prrafodelista"/>
        <w:spacing w:after="0" w:line="240" w:lineRule="auto"/>
        <w:jc w:val="both"/>
        <w:rPr>
          <w:rFonts w:ascii="Arial" w:eastAsia="Times New Roman" w:hAnsi="Arial" w:cs="Arial"/>
          <w:color w:val="000000"/>
          <w:lang w:eastAsia="es-CO"/>
        </w:rPr>
      </w:pPr>
    </w:p>
    <w:p w14:paraId="4D80863A" w14:textId="77777777" w:rsidR="00331205" w:rsidRPr="00732770"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Suspensión total o parcial de trabajos o servicios:</w:t>
      </w:r>
      <w:r w:rsidRPr="00732770">
        <w:rPr>
          <w:rFonts w:ascii="Arial" w:eastAsia="Times New Roman" w:hAnsi="Arial" w:cs="Arial"/>
          <w:color w:val="000000"/>
          <w:lang w:eastAsia="es-CO"/>
        </w:rPr>
        <w:t xml:space="preserve"> Consiste en la orden del cese de actividades cuando con estas se estén violando las disposiciones sanitarias. La suspensión podrá ordenarse sobre todo o parte de los trabajos o servicios que se adelanten.</w:t>
      </w:r>
    </w:p>
    <w:p w14:paraId="56AA377C" w14:textId="77777777" w:rsidR="00331205" w:rsidRPr="00732770" w:rsidRDefault="00331205" w:rsidP="00331205">
      <w:pPr>
        <w:pStyle w:val="Prrafodelista"/>
        <w:spacing w:after="0"/>
        <w:rPr>
          <w:rFonts w:ascii="Arial" w:eastAsia="Times New Roman" w:hAnsi="Arial" w:cs="Arial"/>
          <w:color w:val="000000"/>
          <w:lang w:eastAsia="es-CO"/>
        </w:rPr>
      </w:pPr>
    </w:p>
    <w:p w14:paraId="5B1F76C6" w14:textId="77777777" w:rsidR="00331205" w:rsidRPr="00732770" w:rsidRDefault="00331205" w:rsidP="00331205">
      <w:pPr>
        <w:pStyle w:val="Prrafodelista"/>
        <w:numPr>
          <w:ilvl w:val="0"/>
          <w:numId w:val="13"/>
        </w:numPr>
        <w:spacing w:after="0" w:line="240" w:lineRule="auto"/>
        <w:jc w:val="both"/>
        <w:rPr>
          <w:rFonts w:ascii="Arial" w:eastAsia="Times New Roman" w:hAnsi="Arial" w:cs="Arial"/>
          <w:color w:val="000000"/>
          <w:lang w:eastAsia="es-CO"/>
        </w:rPr>
      </w:pPr>
      <w:r w:rsidRPr="00732770">
        <w:rPr>
          <w:rFonts w:ascii="Arial" w:eastAsia="Times New Roman" w:hAnsi="Arial" w:cs="Arial"/>
          <w:b/>
          <w:bCs/>
          <w:color w:val="000000"/>
          <w:lang w:eastAsia="es-CO"/>
        </w:rPr>
        <w:t>Decomiso del producto:</w:t>
      </w:r>
      <w:r w:rsidRPr="00732770">
        <w:rPr>
          <w:rFonts w:ascii="Arial" w:eastAsia="Times New Roman" w:hAnsi="Arial" w:cs="Arial"/>
          <w:color w:val="000000"/>
          <w:lang w:eastAsia="es-CO"/>
        </w:rPr>
        <w:t xml:space="preserve"> Consiste en la incautación o aprehensión del objeto, materia prima, o alimento que no cumple con los requisitos de orden sanitario o que viole normas sanitarias vigentes. El decomiso se hará para evitar que el producto contaminado, adulterado, con fecha de vencimiento expirada, alterado o falsificado, </w:t>
      </w:r>
      <w:r w:rsidRPr="00732770">
        <w:rPr>
          <w:rFonts w:ascii="Arial" w:eastAsia="Times New Roman" w:hAnsi="Arial" w:cs="Arial"/>
          <w:color w:val="000000"/>
          <w:lang w:eastAsia="es-CO"/>
        </w:rPr>
        <w:lastRenderedPageBreak/>
        <w:t>pueda ocasionar daños a la salud del consumidor o inducir a engaño o viole normas sanitarias vigentes. Los productos decomisados podrán quedar en custodia mientras se define su destino final.”</w:t>
      </w:r>
    </w:p>
    <w:p w14:paraId="611C64E4" w14:textId="77777777" w:rsidR="00331205" w:rsidRPr="00732770" w:rsidRDefault="00331205" w:rsidP="00331205">
      <w:pPr>
        <w:spacing w:after="0" w:line="240" w:lineRule="auto"/>
        <w:jc w:val="both"/>
        <w:rPr>
          <w:rFonts w:ascii="Arial" w:eastAsia="Times New Roman" w:hAnsi="Arial" w:cs="Arial"/>
          <w:color w:val="000000"/>
          <w:lang w:eastAsia="es-CO"/>
        </w:rPr>
      </w:pPr>
    </w:p>
    <w:p w14:paraId="184D9D56" w14:textId="28D1EDE6" w:rsidR="002B474C" w:rsidRPr="00732770" w:rsidRDefault="00331205" w:rsidP="00B21118">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Lo anterior se desarrolla en concordancia con el Plan de Salud Pública de Intervenciones Colectivas, a través del correspondiente Convenio PSPIC suscrito entre cada una de las Subredes Integradas de Servicios de Salud –E.S.E. –, cuyo propósito fundamental es incidir en los riesgos colectivos e individuales generados por las condiciones de vida de la población en el contexto urbano y rural para prevenir y controlar la enfermedad, así como contribuir al mantenimiento de la salud.</w:t>
      </w:r>
    </w:p>
    <w:p w14:paraId="391ECC2C" w14:textId="4BCC7083" w:rsidR="001C64AB" w:rsidRPr="00732770" w:rsidRDefault="00DB7267" w:rsidP="00B21118">
      <w:pPr>
        <w:spacing w:after="0" w:line="240" w:lineRule="auto"/>
        <w:jc w:val="both"/>
        <w:rPr>
          <w:rFonts w:ascii="Arial" w:eastAsia="Times New Roman" w:hAnsi="Arial" w:cs="Arial"/>
          <w:color w:val="000000"/>
          <w:lang w:eastAsia="es-CO"/>
        </w:rPr>
      </w:pPr>
      <w:r w:rsidRPr="00732770">
        <w:rPr>
          <w:rFonts w:ascii="Arial" w:eastAsia="Times New Roman" w:hAnsi="Arial" w:cs="Arial"/>
          <w:color w:val="000000"/>
          <w:lang w:eastAsia="es-CO"/>
        </w:rPr>
        <w:t xml:space="preserve"> </w:t>
      </w:r>
    </w:p>
    <w:p w14:paraId="1EE8648C" w14:textId="77777777" w:rsidR="00D873BD" w:rsidRDefault="00D873BD" w:rsidP="007529FD">
      <w:pPr>
        <w:widowControl w:val="0"/>
        <w:autoSpaceDE w:val="0"/>
        <w:autoSpaceDN w:val="0"/>
        <w:adjustRightInd w:val="0"/>
        <w:spacing w:after="0" w:line="240" w:lineRule="auto"/>
        <w:jc w:val="center"/>
        <w:rPr>
          <w:rFonts w:ascii="Arial" w:hAnsi="Arial" w:cs="Arial"/>
          <w:b/>
          <w:bCs/>
          <w:color w:val="000000"/>
          <w:u w:val="single"/>
        </w:rPr>
      </w:pPr>
    </w:p>
    <w:p w14:paraId="721366C2" w14:textId="5501E406" w:rsidR="007529FD" w:rsidRDefault="007529FD" w:rsidP="007529FD">
      <w:pPr>
        <w:widowControl w:val="0"/>
        <w:autoSpaceDE w:val="0"/>
        <w:autoSpaceDN w:val="0"/>
        <w:adjustRightInd w:val="0"/>
        <w:spacing w:after="0" w:line="240" w:lineRule="auto"/>
        <w:jc w:val="center"/>
        <w:rPr>
          <w:rFonts w:ascii="Arial" w:hAnsi="Arial" w:cs="Arial"/>
          <w:b/>
          <w:bCs/>
          <w:color w:val="000000"/>
          <w:u w:val="single"/>
        </w:rPr>
      </w:pPr>
      <w:r w:rsidRPr="00A651FC">
        <w:rPr>
          <w:rFonts w:ascii="Arial" w:hAnsi="Arial" w:cs="Arial"/>
          <w:b/>
          <w:bCs/>
          <w:color w:val="000000"/>
          <w:u w:val="single"/>
        </w:rPr>
        <w:t>PRONUNCIAMIENTO SOBRE LOS HECHOS DE LA DEMANDA</w:t>
      </w:r>
    </w:p>
    <w:p w14:paraId="4495AE18" w14:textId="499DB997" w:rsidR="00DE5EB7" w:rsidRDefault="00DE5EB7" w:rsidP="00DE5EB7">
      <w:pPr>
        <w:widowControl w:val="0"/>
        <w:autoSpaceDE w:val="0"/>
        <w:autoSpaceDN w:val="0"/>
        <w:adjustRightInd w:val="0"/>
        <w:spacing w:after="0" w:line="240" w:lineRule="auto"/>
        <w:jc w:val="both"/>
        <w:rPr>
          <w:rFonts w:ascii="Arial" w:hAnsi="Arial" w:cs="Arial"/>
          <w:b/>
          <w:bCs/>
          <w:color w:val="000000"/>
          <w:u w:val="single"/>
        </w:rPr>
      </w:pPr>
    </w:p>
    <w:p w14:paraId="79C1422A" w14:textId="102BC4E1"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En relación con los hechos expuestos</w:t>
      </w:r>
      <w:r>
        <w:rPr>
          <w:rFonts w:ascii="Arial" w:hAnsi="Arial" w:cs="Arial"/>
          <w:color w:val="000000"/>
        </w:rPr>
        <w:t xml:space="preserve"> por la Accionante</w:t>
      </w:r>
      <w:r w:rsidRPr="00130264">
        <w:rPr>
          <w:rFonts w:ascii="Arial" w:hAnsi="Arial" w:cs="Arial"/>
          <w:color w:val="000000"/>
        </w:rPr>
        <w:t xml:space="preserve">, la Secretaría Distrital de Salud se permite precisar, en primer lugar, que la controversia planteada se origina, </w:t>
      </w:r>
      <w:r>
        <w:rPr>
          <w:rFonts w:ascii="Arial" w:hAnsi="Arial" w:cs="Arial"/>
          <w:color w:val="000000"/>
        </w:rPr>
        <w:t>principalmente</w:t>
      </w:r>
      <w:r w:rsidRPr="00130264">
        <w:rPr>
          <w:rFonts w:ascii="Arial" w:hAnsi="Arial" w:cs="Arial"/>
          <w:color w:val="000000"/>
        </w:rPr>
        <w:t>, en la presunta ocupación indebida del espacio público por una estructura tipo caseta ubicada frente al inmueble identificado con la nomenclatura Carrera 32 Nos. 11-05 y 11-09 de Bogotá D.C., así como en la supuesta falta de actuación oportuna de la Alcaldía Local de Puente Aranda frente a la querella policiva que, según se afirma en la demanda, habría sido presentada desde el mes de abril de 2025. En ese sentido, la propia formulación de los hechos y pretensiones permite advertir que el reproche constitucional se dirige fundamentalmente contra la autoridad local encargada de adelantar las actuaciones administrativas y policivas relacionadas con la protección, control, defensa y eventual recuperación del espacio público, materia que no corresponde a la órbita funcional directa de esta Secretaría.</w:t>
      </w:r>
    </w:p>
    <w:p w14:paraId="06143880"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50C84810"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En efecto, más allá de la solicitud de vinculación de la Secretaría Distrital de Salud al presente trámite constitucional, no se advierte que la parte accionante formule una pretensión concreta, directa y autónoma encaminada a que esta Entidad adopte una decisión administrativa de fondo sobre la ocupación del espacio público, remueva la estructura denunciada, defina la legalidad de su permanencia, verifique la titularidad o regularidad de conexiones a servicios públicos, ni impulse el trámite policivo que habría sido promovido ante la Alcaldía Local de Puente Aranda. Por el contrario, las órdenes solicitadas se orientan, en su mayoría, a que dicha Alcaldía informe el estado de la querella, remita el expediente administrativo, practique visita administrativa, impulse el procedimiento correspondiente y adopte las medidas que resulten procedentes frente a la ocupación denunciada, lo cual confirma que la competencia principal en la materia recae en autoridades distintas a la Secretaría Distrital de Salud.</w:t>
      </w:r>
    </w:p>
    <w:p w14:paraId="2E81652E"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3513679C" w14:textId="6FCE77B6"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Sin perjuicio de lo anterior, y en atención a la vinculación efectuada dentro del presente trámite constitucional, la Secretaría Distrital de Salud, a través de la Subred Integrada de Servicios de Salud Sur Occidente E.S.E., desplegó las actuaciones que se encontraban dentro del ámbito de sus competencias sanitarias, particularmente mediante la intervención de las líneas de Calidad de Agua y Saneamiento Básico y de Enfermedades Transmisibles de Origen Zoonótico</w:t>
      </w:r>
      <w:r>
        <w:rPr>
          <w:rFonts w:ascii="Arial" w:hAnsi="Arial" w:cs="Arial"/>
          <w:color w:val="000000"/>
        </w:rPr>
        <w:t xml:space="preserve"> –</w:t>
      </w:r>
      <w:r w:rsidRPr="00130264">
        <w:rPr>
          <w:rFonts w:ascii="Arial" w:hAnsi="Arial" w:cs="Arial"/>
          <w:color w:val="000000"/>
        </w:rPr>
        <w:t xml:space="preserve"> ETOZ, con el propósito de verificar las condiciones observables en el sector y documentar los hallazgos sanitarios que fueran evidenciados en el marco de la visita.</w:t>
      </w:r>
    </w:p>
    <w:p w14:paraId="447A939A"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2D7D632C"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Así, en lo que respecta a la línea de Calidad de Agua y Saneamiento Básico, el día 26 de mayo de 2026 se realizó desplazamiento al inmueble ubicado en la Carrera 32 No. 11-</w:t>
      </w:r>
      <w:r w:rsidRPr="00130264">
        <w:rPr>
          <w:rFonts w:ascii="Arial" w:hAnsi="Arial" w:cs="Arial"/>
          <w:color w:val="000000"/>
        </w:rPr>
        <w:lastRenderedPageBreak/>
        <w:t>05/09, barrio Pensilvania, localidad de Puente Aranda, actuación que quedó consignada en el Acta No. SA03C011045, la cual se acompaña con la presente respuesta. Durante dicha diligencia se identificó una estructura tipo caseta ubicada sobre uno de los costados externos del inmueble, en zona correspondiente al andén y espacio público, respecto de la cual se observó que estaría siendo utilizada para actividades de preparación y expendio de alimentos. Igualmente, en el área contigua se advirtió acumulación de residuos sólidos dispuestos de manera inadecuada, condición que puede favorecer la presencia de vectores y afectar las condiciones sanitarias y ambientales del entorno. También se evidenció que en predios aledaños se desarrollan actividades asociadas al almacenamiento de objetos y al reciclaje, correspondientes a bodegas y establecimientos de aprovechamiento de residuos, respectivamente.</w:t>
      </w:r>
    </w:p>
    <w:p w14:paraId="3E525BDC"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789AEEB2"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Ahora bien, debe destacarse que, durante la visita adelantada por la línea de Calidad de Agua y Saneamiento Básico, no fue posible realizar inspección interna, evaluación sanitaria ni verificación documental de la actividad económica desarrollada en la caseta, debido a la ausencia de los responsables y a la falta de atención al momento de la diligencia. Así mismo, se identificó que en el inmueble inspeccionado funcionan dos actividades económicas diferenciadas, esto es, una bodega ubicada en el primer nivel y un establecimiento dedicado al expendio de alimentos tipo restaurante en el segundo piso. En consecuencia, la actuación sanitaria se limitó a la verificación externa de las condiciones evidenciables al momento de la visita, al registro de los hallazgos observados y a la formulación de recomendaciones de índole higiénico-sanitaria, sin que ello suponga que la Secretaría Distrital de Salud tenga competencia para definir la legalidad de la ocupación del espacio público o disponer la remoción de la estructura denunciada.</w:t>
      </w:r>
    </w:p>
    <w:p w14:paraId="6AC41274"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7F04ECA4" w14:textId="6F7DD494"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 xml:space="preserve">En ese contexto, se recomendó fortalecer las medidas de saneamiento básico mediante la implementación de un manejo integral y adecuado de los residuos sólidos generados por las actividades desarrolladas en el establecimiento y sus áreas adyacentes, evitando su acumulación y disposición inadecuada en el espacio público, con el fin de minimizar riesgos sanitarios y ambientales. </w:t>
      </w:r>
      <w:r>
        <w:rPr>
          <w:rFonts w:ascii="Arial" w:hAnsi="Arial" w:cs="Arial"/>
          <w:color w:val="000000"/>
        </w:rPr>
        <w:t>Igualmente</w:t>
      </w:r>
      <w:r w:rsidRPr="00130264">
        <w:rPr>
          <w:rFonts w:ascii="Arial" w:hAnsi="Arial" w:cs="Arial"/>
          <w:color w:val="000000"/>
        </w:rPr>
        <w:t>, se recomendó mantener condiciones higiénico-sanitarias adecuadas en las áreas destinadas al almacenamiento, preparación, manipulación y expendio de alimentos, garantizar actividades continuas de limpieza, desinfección y orden locativo, implementar estrategias de control integrado de plagas y vectores, y adoptar las medidas necesarias para evitar la ocupación indebida del espacio público y cualquier afectación a la movilidad peatonal derivada de la instalación y funcionamiento de estructuras asociadas a actividades comerciales.</w:t>
      </w:r>
    </w:p>
    <w:p w14:paraId="7AF73D1F"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79F0BDAD" w14:textId="7A3D8358"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Por su parte, en lo relacionado con la línea de Enfermedades Transmisibles de Origen Zoonótico</w:t>
      </w:r>
      <w:r>
        <w:rPr>
          <w:rFonts w:ascii="Arial" w:hAnsi="Arial" w:cs="Arial"/>
          <w:color w:val="000000"/>
        </w:rPr>
        <w:t xml:space="preserve"> – </w:t>
      </w:r>
      <w:r w:rsidRPr="00130264">
        <w:rPr>
          <w:rFonts w:ascii="Arial" w:hAnsi="Arial" w:cs="Arial"/>
          <w:color w:val="000000"/>
        </w:rPr>
        <w:t xml:space="preserve">ETOZ, el día 26 de mayo de 2026 se adelantó visita de diagnóstico en el sector perimetral del punto señalado por la accionante, actuación que quedó registrada en el Acta No. EZ05C004363, la cual también se </w:t>
      </w:r>
      <w:r>
        <w:rPr>
          <w:rFonts w:ascii="Arial" w:hAnsi="Arial" w:cs="Arial"/>
          <w:color w:val="000000"/>
        </w:rPr>
        <w:t>adjunta</w:t>
      </w:r>
      <w:r w:rsidRPr="00130264">
        <w:rPr>
          <w:rFonts w:ascii="Arial" w:hAnsi="Arial" w:cs="Arial"/>
          <w:color w:val="000000"/>
        </w:rPr>
        <w:t xml:space="preserve"> con esta respuesta. Durante dicha intervención se realizó recorrido en el área comprendida entre la Carrera 32 y la Carrera 32A, y entre la Calle 10 y la Calle 11, con el fin de identificar condiciones que pudieran favorecer la presencia, refugio o proliferación de vectores plaga en el sector.</w:t>
      </w:r>
    </w:p>
    <w:p w14:paraId="23A999F3"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3C83BBBF" w14:textId="52EDF5E3"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En desarrollo de dicha visita, la línea ETOZ evidenció, entre otros aspectos</w:t>
      </w:r>
      <w:r>
        <w:rPr>
          <w:rFonts w:ascii="Arial" w:hAnsi="Arial" w:cs="Arial"/>
          <w:color w:val="000000"/>
        </w:rPr>
        <w:t xml:space="preserve">: </w:t>
      </w:r>
      <w:r>
        <w:rPr>
          <w:rFonts w:ascii="Arial" w:hAnsi="Arial" w:cs="Arial"/>
          <w:b/>
          <w:bCs/>
          <w:i/>
          <w:iCs/>
          <w:color w:val="000000"/>
        </w:rPr>
        <w:t>i)</w:t>
      </w:r>
      <w:r w:rsidRPr="00130264">
        <w:rPr>
          <w:rFonts w:ascii="Arial" w:hAnsi="Arial" w:cs="Arial"/>
          <w:color w:val="000000"/>
        </w:rPr>
        <w:t xml:space="preserve"> la inadecuada disposición de residuos sólidos en el espacio público;</w:t>
      </w:r>
      <w:r>
        <w:rPr>
          <w:rFonts w:ascii="Arial" w:hAnsi="Arial" w:cs="Arial"/>
          <w:color w:val="000000"/>
        </w:rPr>
        <w:t xml:space="preserve"> </w:t>
      </w:r>
      <w:proofErr w:type="spellStart"/>
      <w:r>
        <w:rPr>
          <w:rFonts w:ascii="Arial" w:hAnsi="Arial" w:cs="Arial"/>
          <w:b/>
          <w:bCs/>
          <w:i/>
          <w:iCs/>
          <w:color w:val="000000"/>
        </w:rPr>
        <w:t>ii</w:t>
      </w:r>
      <w:proofErr w:type="spellEnd"/>
      <w:r>
        <w:rPr>
          <w:rFonts w:ascii="Arial" w:hAnsi="Arial" w:cs="Arial"/>
          <w:b/>
          <w:bCs/>
          <w:i/>
          <w:iCs/>
          <w:color w:val="000000"/>
        </w:rPr>
        <w:t>)</w:t>
      </w:r>
      <w:r w:rsidRPr="00130264">
        <w:rPr>
          <w:rFonts w:ascii="Arial" w:hAnsi="Arial" w:cs="Arial"/>
          <w:color w:val="000000"/>
        </w:rPr>
        <w:t xml:space="preserve"> la existencia de sumideros de agua lluvia sin protección suficiente para impedir la migración de roedores desde la red de alcantarillado al exterior, algunos de ellos con empozamiento de aguas lluvias, sedimentos y residuos sólidos; </w:t>
      </w:r>
      <w:proofErr w:type="spellStart"/>
      <w:r>
        <w:rPr>
          <w:rFonts w:ascii="Arial" w:hAnsi="Arial" w:cs="Arial"/>
          <w:b/>
          <w:bCs/>
          <w:i/>
          <w:iCs/>
          <w:color w:val="000000"/>
        </w:rPr>
        <w:t>iii</w:t>
      </w:r>
      <w:proofErr w:type="spellEnd"/>
      <w:r>
        <w:rPr>
          <w:rFonts w:ascii="Arial" w:hAnsi="Arial" w:cs="Arial"/>
          <w:b/>
          <w:bCs/>
          <w:i/>
          <w:iCs/>
          <w:color w:val="000000"/>
        </w:rPr>
        <w:t xml:space="preserve">) </w:t>
      </w:r>
      <w:r w:rsidRPr="00130264">
        <w:rPr>
          <w:rFonts w:ascii="Arial" w:hAnsi="Arial" w:cs="Arial"/>
          <w:color w:val="000000"/>
        </w:rPr>
        <w:t xml:space="preserve">vías en malas condiciones de pavimentación con puntos de empozamiento; fisuras y agujeros en andenes y cajas de servicios públicos que pueden </w:t>
      </w:r>
      <w:r w:rsidRPr="00130264">
        <w:rPr>
          <w:rFonts w:ascii="Arial" w:hAnsi="Arial" w:cs="Arial"/>
          <w:color w:val="000000"/>
        </w:rPr>
        <w:lastRenderedPageBreak/>
        <w:t xml:space="preserve">servir como resguardo o anidamiento de roedores; </w:t>
      </w:r>
      <w:proofErr w:type="spellStart"/>
      <w:r>
        <w:rPr>
          <w:rFonts w:ascii="Arial" w:hAnsi="Arial" w:cs="Arial"/>
          <w:b/>
          <w:bCs/>
          <w:i/>
          <w:iCs/>
          <w:color w:val="000000"/>
        </w:rPr>
        <w:t>iv</w:t>
      </w:r>
      <w:proofErr w:type="spellEnd"/>
      <w:r>
        <w:rPr>
          <w:rFonts w:ascii="Arial" w:hAnsi="Arial" w:cs="Arial"/>
          <w:b/>
          <w:bCs/>
          <w:i/>
          <w:iCs/>
          <w:color w:val="000000"/>
        </w:rPr>
        <w:t xml:space="preserve">) </w:t>
      </w:r>
      <w:r w:rsidRPr="00130264">
        <w:rPr>
          <w:rFonts w:ascii="Arial" w:hAnsi="Arial" w:cs="Arial"/>
          <w:color w:val="000000"/>
        </w:rPr>
        <w:t xml:space="preserve">establecimientos comerciales e industriales que disponen residuos de manera inadecuada en la vía pública, incluyendo residuos orgánicos tipo alimentos; </w:t>
      </w:r>
      <w:r>
        <w:rPr>
          <w:rFonts w:ascii="Arial" w:hAnsi="Arial" w:cs="Arial"/>
          <w:color w:val="000000"/>
        </w:rPr>
        <w:t xml:space="preserve">y </w:t>
      </w:r>
      <w:r>
        <w:rPr>
          <w:rFonts w:ascii="Arial" w:hAnsi="Arial" w:cs="Arial"/>
          <w:b/>
          <w:bCs/>
          <w:i/>
          <w:iCs/>
          <w:color w:val="000000"/>
        </w:rPr>
        <w:t>v)</w:t>
      </w:r>
      <w:r w:rsidRPr="00130264">
        <w:rPr>
          <w:rFonts w:ascii="Arial" w:hAnsi="Arial" w:cs="Arial"/>
          <w:color w:val="000000"/>
        </w:rPr>
        <w:t xml:space="preserve"> invasión del espacio público por vehículos y mercancías pertenecientes a establecimientos e industrias del sector, situación que dificulta la movilidad y puede favorecer el refugio de plagas.</w:t>
      </w:r>
    </w:p>
    <w:p w14:paraId="24C65845"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68350649"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Estos hallazgos resultan relevantes porque, como fue indicado por la línea técnica, la presencia de roedores y otros vectores no depende exclusivamente de la aplicación de productos rodenticidas o de acciones aisladas de control químico, sino de un manejo integrado de plagas, el cual exige corregir previamente o de manera concomitante las condiciones ambientales, locativas y sanitarias que favorecen su proliferación, tales como la acumulación y mala disposición de residuos, la presencia de materia orgánica disponible, el deterioro de andenes y sumideros, el empozamiento de aguas, la falta de mantenimiento de áreas comunes y la ocupación del espacio público que genera refugios o zonas de anidamiento. En esa medida, mientras dichas condiciones estructurales no sean intervenidas por las autoridades y actores competentes, cualquier actividad puntual de control de roedores tendría un alcance limitado y podría resultar insuficiente para garantizar una mitigación sostenible del riesgo sanitario.</w:t>
      </w:r>
    </w:p>
    <w:p w14:paraId="553F19B3"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70C9D98B"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Por lo anterior, la Secretaría Distrital de Salud insiste en que su actuación se circunscribe al ejercicio de competencias de inspección, vigilancia y control sanitario, así como a la identificación de factores de riesgo para la salud pública y a la formulación de recomendaciones técnicas dentro de su marco funcional. No obstante, las medidas relacionadas con la recuperación del espacio público, la remoción o regularización de estructuras ubicadas sobre andenes, el control de ocupaciones indebidas, la gestión operativa de residuos en espacio público, la intervención de sumideros, redes de alcantarillado o cajas de servicios públicos, la verificación de conexiones eléctricas y la adopción de decisiones policivas o administrativas de fondo corresponden a otras autoridades o empresas competentes, según la naturaleza de cada asunto.</w:t>
      </w:r>
    </w:p>
    <w:p w14:paraId="0AAB8A75" w14:textId="77777777" w:rsidR="00130264" w:rsidRPr="00130264" w:rsidRDefault="00130264" w:rsidP="00130264">
      <w:pPr>
        <w:widowControl w:val="0"/>
        <w:autoSpaceDE w:val="0"/>
        <w:autoSpaceDN w:val="0"/>
        <w:adjustRightInd w:val="0"/>
        <w:spacing w:after="0" w:line="240" w:lineRule="auto"/>
        <w:jc w:val="both"/>
        <w:rPr>
          <w:rFonts w:ascii="Arial" w:hAnsi="Arial" w:cs="Arial"/>
          <w:color w:val="000000"/>
        </w:rPr>
      </w:pPr>
    </w:p>
    <w:p w14:paraId="14A3A6F3" w14:textId="6DC634C0" w:rsidR="009305F4" w:rsidRDefault="00130264" w:rsidP="00130264">
      <w:pPr>
        <w:widowControl w:val="0"/>
        <w:autoSpaceDE w:val="0"/>
        <w:autoSpaceDN w:val="0"/>
        <w:adjustRightInd w:val="0"/>
        <w:spacing w:after="0" w:line="240" w:lineRule="auto"/>
        <w:jc w:val="both"/>
        <w:rPr>
          <w:rFonts w:ascii="Arial" w:hAnsi="Arial" w:cs="Arial"/>
          <w:color w:val="000000"/>
        </w:rPr>
      </w:pPr>
      <w:r w:rsidRPr="00130264">
        <w:rPr>
          <w:rFonts w:ascii="Arial" w:hAnsi="Arial" w:cs="Arial"/>
          <w:color w:val="000000"/>
        </w:rPr>
        <w:t>Así las cosas, no existe omisión atribuible a la Secretaría Distrital de Salud ni conducta vulneradora de los derechos fundamentales invocados por la accionante. Por el contrario, una vez vinculada al presente trámite, esta Entidad desplegó las actuaciones que se encontraban dentro de su competencia, realizó las visitas técnicas correspondientes a través de la Subred Integrada de Servicios de Salud Sur Occidente E.S.E., documentó los hallazgos evidenciados en las actas respectivas, formuló las recomendaciones sanitarias pertinentes y precisó la necesidad de que las autoridades competentes intervengan las condiciones estructurales que exceden la órbita funcional del Sector Salud.</w:t>
      </w:r>
    </w:p>
    <w:p w14:paraId="78E93BB2" w14:textId="7B7033EB" w:rsidR="00FD7724" w:rsidRPr="00A651FC" w:rsidRDefault="00FD7724" w:rsidP="00FD7724">
      <w:pPr>
        <w:spacing w:before="100" w:beforeAutospacing="1" w:after="100" w:afterAutospacing="1" w:line="240" w:lineRule="auto"/>
        <w:jc w:val="center"/>
        <w:rPr>
          <w:rFonts w:ascii="Arial" w:eastAsia="Times New Roman" w:hAnsi="Arial" w:cs="Arial"/>
          <w:b/>
          <w:bCs/>
          <w:color w:val="000000"/>
          <w:u w:val="single"/>
          <w:lang w:eastAsia="es-CO"/>
        </w:rPr>
      </w:pPr>
      <w:r w:rsidRPr="00A651FC">
        <w:rPr>
          <w:rFonts w:ascii="Arial" w:eastAsia="Times New Roman" w:hAnsi="Arial" w:cs="Arial"/>
          <w:b/>
          <w:bCs/>
          <w:color w:val="000000"/>
          <w:u w:val="single"/>
          <w:lang w:eastAsia="es-CO"/>
        </w:rPr>
        <w:t>FRENTE A LAS PRETENSIONES</w:t>
      </w:r>
    </w:p>
    <w:p w14:paraId="4C387AAB" w14:textId="77777777" w:rsid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 xml:space="preserve">Frente a las pretensiones formuladas por la parte </w:t>
      </w:r>
      <w:r>
        <w:rPr>
          <w:rFonts w:ascii="Arial" w:eastAsia="Times New Roman" w:hAnsi="Arial" w:cs="Arial"/>
          <w:color w:val="000000"/>
          <w:lang w:eastAsia="es-CO"/>
        </w:rPr>
        <w:t>A</w:t>
      </w:r>
      <w:r w:rsidRPr="00130264">
        <w:rPr>
          <w:rFonts w:ascii="Arial" w:eastAsia="Times New Roman" w:hAnsi="Arial" w:cs="Arial"/>
          <w:color w:val="000000"/>
          <w:lang w:eastAsia="es-CO"/>
        </w:rPr>
        <w:t xml:space="preserve">ccionante, la Secretaría Distrital de Salud solicita respetuosamente al Despacho declarar su falta de legitimación en la causa por pasiva y, en consecuencia, disponer su desvinculación del presente trámite constitucional, toda vez que la controversia planteada se relaciona, </w:t>
      </w:r>
      <w:r>
        <w:rPr>
          <w:rFonts w:ascii="Arial" w:eastAsia="Times New Roman" w:hAnsi="Arial" w:cs="Arial"/>
          <w:color w:val="000000"/>
          <w:lang w:eastAsia="es-CO"/>
        </w:rPr>
        <w:t>mayoritariamente –por no decir que en su totalidad–</w:t>
      </w:r>
      <w:r w:rsidRPr="00130264">
        <w:rPr>
          <w:rFonts w:ascii="Arial" w:eastAsia="Times New Roman" w:hAnsi="Arial" w:cs="Arial"/>
          <w:color w:val="000000"/>
          <w:lang w:eastAsia="es-CO"/>
        </w:rPr>
        <w:t xml:space="preserve">, con la presunta ocupación indebida del espacio público, la recuperación de áreas de uso público, el trámite de una querella policiva presentada ante la Alcaldía Local de Puente Aranda, la eventual existencia de conexiones irregulares a servicios públicos y la adopción de medidas administrativas o policivas frente a una estructura ubicada sobre el andén. </w:t>
      </w:r>
    </w:p>
    <w:p w14:paraId="1720F62D" w14:textId="5C9CC6FC" w:rsidR="00130264" w:rsidRP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lastRenderedPageBreak/>
        <w:t>Tales asuntos</w:t>
      </w:r>
      <w:r>
        <w:rPr>
          <w:rFonts w:ascii="Arial" w:eastAsia="Times New Roman" w:hAnsi="Arial" w:cs="Arial"/>
          <w:color w:val="000000"/>
          <w:lang w:eastAsia="es-CO"/>
        </w:rPr>
        <w:t>, cómo es de público conocimiento,</w:t>
      </w:r>
      <w:r w:rsidRPr="00130264">
        <w:rPr>
          <w:rFonts w:ascii="Arial" w:eastAsia="Times New Roman" w:hAnsi="Arial" w:cs="Arial"/>
          <w:color w:val="000000"/>
          <w:lang w:eastAsia="es-CO"/>
        </w:rPr>
        <w:t xml:space="preserve"> no corresponden a la competencia directa de esta Secretaría, sino a las autoridades que tienen a su cargo la protección, administración, control y recuperación del espacio público, así como la verificación de infraestructura, servicios públicos y condiciones urbanas del sector.</w:t>
      </w:r>
    </w:p>
    <w:p w14:paraId="6690DECF" w14:textId="77777777" w:rsidR="00130264" w:rsidRPr="00130264" w:rsidRDefault="00130264" w:rsidP="00130264">
      <w:pPr>
        <w:spacing w:after="0" w:line="240" w:lineRule="auto"/>
        <w:jc w:val="both"/>
        <w:rPr>
          <w:rFonts w:ascii="Arial" w:eastAsia="Times New Roman" w:hAnsi="Arial" w:cs="Arial"/>
          <w:color w:val="000000"/>
          <w:lang w:eastAsia="es-CO"/>
        </w:rPr>
      </w:pPr>
    </w:p>
    <w:p w14:paraId="5EC0A076" w14:textId="0DE6CBE0" w:rsidR="00130264" w:rsidRP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 xml:space="preserve">En efecto, las pretensiones segunda, tercera, cuarta, quinta, sexta y novena están dirigidas expresamente a la Alcaldía Local de Puente Aranda, entidad a la cual la accionante atribuye la presunta omisión en el trámite de la querella policiva, la falta de información sobre el estado de la actuación administrativa, la ausencia de remisión del expediente, la falta de práctica de una visita administrativa y la no adopción de medidas encaminadas a la recuperación del espacio público. </w:t>
      </w:r>
      <w:r>
        <w:rPr>
          <w:rFonts w:ascii="Arial" w:eastAsia="Times New Roman" w:hAnsi="Arial" w:cs="Arial"/>
          <w:color w:val="000000"/>
          <w:lang w:eastAsia="es-CO"/>
        </w:rPr>
        <w:t>Razón por la cual</w:t>
      </w:r>
      <w:r w:rsidRPr="00130264">
        <w:rPr>
          <w:rFonts w:ascii="Arial" w:eastAsia="Times New Roman" w:hAnsi="Arial" w:cs="Arial"/>
          <w:color w:val="000000"/>
          <w:lang w:eastAsia="es-CO"/>
        </w:rPr>
        <w:t>, no resulta jurídicamente procedente trasladar a la Secretaría Distrital de Salud la responsabilidad por actuaciones, decisiones o procedimientos que no se encuentran bajo su dirección, administración o competencia funcional.</w:t>
      </w:r>
    </w:p>
    <w:p w14:paraId="1ED8B2F9" w14:textId="77777777" w:rsidR="00130264" w:rsidRPr="00130264" w:rsidRDefault="00130264" w:rsidP="00130264">
      <w:pPr>
        <w:spacing w:after="0" w:line="240" w:lineRule="auto"/>
        <w:jc w:val="both"/>
        <w:rPr>
          <w:rFonts w:ascii="Arial" w:eastAsia="Times New Roman" w:hAnsi="Arial" w:cs="Arial"/>
          <w:color w:val="000000"/>
          <w:lang w:eastAsia="es-CO"/>
        </w:rPr>
      </w:pPr>
    </w:p>
    <w:p w14:paraId="1EC095FF" w14:textId="77777777" w:rsid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 xml:space="preserve">Sin perjuicio de lo anterior, esta Secretaría sí desplegó las actuaciones sanitarias que se encontraban dentro de su ámbito competencial. En particular, la Subred Integrada de Servicios de Salud Sur Occidente E.S.E., por conducto de la línea de Calidad de Agua y Saneamiento Básico, realizó visita el día 26 de mayo de 2026, documentada en el Acta No. SA03C011045, en la cual se verificaron externamente las condiciones observables en el inmueble y en el área contigua a la estructura denunciada. </w:t>
      </w:r>
    </w:p>
    <w:p w14:paraId="0A81FDB3" w14:textId="77777777" w:rsidR="00130264" w:rsidRDefault="00130264" w:rsidP="00130264">
      <w:pPr>
        <w:spacing w:after="0" w:line="240" w:lineRule="auto"/>
        <w:jc w:val="both"/>
        <w:rPr>
          <w:rFonts w:ascii="Arial" w:eastAsia="Times New Roman" w:hAnsi="Arial" w:cs="Arial"/>
          <w:color w:val="000000"/>
          <w:lang w:eastAsia="es-CO"/>
        </w:rPr>
      </w:pPr>
    </w:p>
    <w:p w14:paraId="7A56C7B4" w14:textId="76E40BB5" w:rsidR="00130264" w:rsidRP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Así mismo, la línea de Enfermedades Transmisibles de Origen Zoonótico</w:t>
      </w:r>
      <w:r>
        <w:rPr>
          <w:rFonts w:ascii="Arial" w:eastAsia="Times New Roman" w:hAnsi="Arial" w:cs="Arial"/>
          <w:color w:val="000000"/>
          <w:lang w:eastAsia="es-CO"/>
        </w:rPr>
        <w:t xml:space="preserve"> –</w:t>
      </w:r>
      <w:r w:rsidRPr="00130264">
        <w:rPr>
          <w:rFonts w:ascii="Arial" w:eastAsia="Times New Roman" w:hAnsi="Arial" w:cs="Arial"/>
          <w:color w:val="000000"/>
          <w:lang w:eastAsia="es-CO"/>
        </w:rPr>
        <w:t>ETOZ</w:t>
      </w:r>
      <w:r>
        <w:rPr>
          <w:rFonts w:ascii="Arial" w:eastAsia="Times New Roman" w:hAnsi="Arial" w:cs="Arial"/>
          <w:color w:val="000000"/>
          <w:lang w:eastAsia="es-CO"/>
        </w:rPr>
        <w:t>–</w:t>
      </w:r>
      <w:r w:rsidRPr="00130264">
        <w:rPr>
          <w:rFonts w:ascii="Arial" w:eastAsia="Times New Roman" w:hAnsi="Arial" w:cs="Arial"/>
          <w:color w:val="000000"/>
          <w:lang w:eastAsia="es-CO"/>
        </w:rPr>
        <w:t xml:space="preserve"> efectuó visita diagnóstica en la misma fecha, registrada en el Acta No. EZ05C004363, mediante la cual se identificaron condiciones que pueden favorecer la presencia o proliferación de vectores plaga en el sector. No obstante, debe </w:t>
      </w:r>
      <w:r>
        <w:rPr>
          <w:rFonts w:ascii="Arial" w:eastAsia="Times New Roman" w:hAnsi="Arial" w:cs="Arial"/>
          <w:color w:val="000000"/>
          <w:lang w:eastAsia="es-CO"/>
        </w:rPr>
        <w:t>reiterarse</w:t>
      </w:r>
      <w:r w:rsidRPr="00130264">
        <w:rPr>
          <w:rFonts w:ascii="Arial" w:eastAsia="Times New Roman" w:hAnsi="Arial" w:cs="Arial"/>
          <w:color w:val="000000"/>
          <w:lang w:eastAsia="es-CO"/>
        </w:rPr>
        <w:t xml:space="preserve"> que, respecto de la caseta señalada por la accionante, no fue posible efectuar inspección interna, evaluación sanitaria ni verificación documental de la actividad económica, debido a la ausencia de los responsables y a la falta de atención durante la diligencia, razón por la cual la actuación se circunscribió a la observación externa, al registro de hallazgos y a la formulación de recomendaciones higiénico-sanitarias.</w:t>
      </w:r>
    </w:p>
    <w:p w14:paraId="6E384F01" w14:textId="77777777" w:rsidR="00130264" w:rsidRPr="00130264" w:rsidRDefault="00130264" w:rsidP="00130264">
      <w:pPr>
        <w:spacing w:after="0" w:line="240" w:lineRule="auto"/>
        <w:jc w:val="both"/>
        <w:rPr>
          <w:rFonts w:ascii="Arial" w:eastAsia="Times New Roman" w:hAnsi="Arial" w:cs="Arial"/>
          <w:color w:val="000000"/>
          <w:lang w:eastAsia="es-CO"/>
        </w:rPr>
      </w:pPr>
    </w:p>
    <w:p w14:paraId="013BDB11" w14:textId="77777777" w:rsidR="00130264" w:rsidRPr="00130264"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Ahora bien, frente a la problemática asociada a la presencia de roedores o vectores, resulta necesario precisar que su abordaje no se agota en la aplicación aislada de productos rodenticidas o medidas de control químico, sino que exige un enfoque de manejo integrado de plagas. En el presente caso, la línea ETOZ identificó condiciones predisponentes que favorecen la presencia, refugio o proliferación de vectores, tales como la inadecuada disposición de residuos sólidos en espacio público, sumideros sin protección y con empozamiento, fisuras y agujeros en andenes y cajas de servicios públicos, presencia de residuos orgánicos, deterioro de vías, ocupación del espacio público por vehículos y mercancías, así como actividades comerciales e industriales que inciden en las condiciones sanitarias del sector. Por ello, mientras dichos factores estructurales no sean corregidos por las autoridades y actores competentes, cualquier intervención puntual de control de plagas tendría un efecto limitado, temporal y potencialmente ineficaz.</w:t>
      </w:r>
    </w:p>
    <w:p w14:paraId="704FDED5" w14:textId="77777777" w:rsidR="00130264" w:rsidRPr="00130264" w:rsidRDefault="00130264" w:rsidP="00130264">
      <w:pPr>
        <w:spacing w:after="0" w:line="240" w:lineRule="auto"/>
        <w:jc w:val="both"/>
        <w:rPr>
          <w:rFonts w:ascii="Arial" w:eastAsia="Times New Roman" w:hAnsi="Arial" w:cs="Arial"/>
          <w:color w:val="000000"/>
          <w:lang w:eastAsia="es-CO"/>
        </w:rPr>
      </w:pPr>
    </w:p>
    <w:p w14:paraId="27114A4C" w14:textId="7F4BD927" w:rsidR="0075693B" w:rsidRDefault="00130264" w:rsidP="00130264">
      <w:pPr>
        <w:spacing w:after="0" w:line="240" w:lineRule="auto"/>
        <w:jc w:val="both"/>
        <w:rPr>
          <w:rFonts w:ascii="Arial" w:eastAsia="Times New Roman" w:hAnsi="Arial" w:cs="Arial"/>
          <w:color w:val="000000"/>
          <w:lang w:eastAsia="es-CO"/>
        </w:rPr>
      </w:pPr>
      <w:r w:rsidRPr="00130264">
        <w:rPr>
          <w:rFonts w:ascii="Arial" w:eastAsia="Times New Roman" w:hAnsi="Arial" w:cs="Arial"/>
          <w:color w:val="000000"/>
          <w:lang w:eastAsia="es-CO"/>
        </w:rPr>
        <w:t xml:space="preserve">En ese orden de ideas, las eventuales órdenes relacionadas con la recuperación del espacio público, remoción o regularización de la caseta, control de ocupaciones indebidas, retiro de vehículos o mercancías ubicadas sobre andenes, limpieza y gestión de residuos en espacio público, intervención de sumideros o redes de alcantarillado, mantenimiento de andenes, cajas de servicios públicos o vías, y verificación de conexiones eléctricas, deben dirigirse a las autoridades o empresas competentes en cada materia, entre ellas la Alcaldía </w:t>
      </w:r>
      <w:r w:rsidRPr="00130264">
        <w:rPr>
          <w:rFonts w:ascii="Arial" w:eastAsia="Times New Roman" w:hAnsi="Arial" w:cs="Arial"/>
          <w:color w:val="000000"/>
          <w:lang w:eastAsia="es-CO"/>
        </w:rPr>
        <w:lastRenderedPageBreak/>
        <w:t xml:space="preserve">Local de Puente Aranda, el Departamento Administrativo de la Defensoría del Espacio Público </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DADEP</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 xml:space="preserve">, la Unidad Administrativa Especial de Servicios Públicos </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UAESP</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 xml:space="preserve">, la Empresa de Acueducto y Alcantarillado de Bogotá </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EAAB</w:t>
      </w:r>
      <w:r w:rsidR="003C086D">
        <w:rPr>
          <w:rFonts w:ascii="Arial" w:eastAsia="Times New Roman" w:hAnsi="Arial" w:cs="Arial"/>
          <w:color w:val="000000"/>
          <w:lang w:eastAsia="es-CO"/>
        </w:rPr>
        <w:t>–</w:t>
      </w:r>
      <w:r w:rsidRPr="00130264">
        <w:rPr>
          <w:rFonts w:ascii="Arial" w:eastAsia="Times New Roman" w:hAnsi="Arial" w:cs="Arial"/>
          <w:color w:val="000000"/>
          <w:lang w:eastAsia="es-CO"/>
        </w:rPr>
        <w:t>, la Secretaría Distrital de Movilidad, la empresa prestadora del servicio público de energía que opere en el sector y las demás entidades que el Despacho estime pertinentes.</w:t>
      </w:r>
    </w:p>
    <w:p w14:paraId="2F55314D" w14:textId="77777777" w:rsidR="0075693B" w:rsidRDefault="0075693B" w:rsidP="0075693B">
      <w:pPr>
        <w:spacing w:before="100" w:beforeAutospacing="1" w:after="100" w:afterAutospacing="1" w:line="240" w:lineRule="auto"/>
        <w:rPr>
          <w:rFonts w:ascii="Arial" w:eastAsia="Times New Roman" w:hAnsi="Arial" w:cs="Arial"/>
          <w:color w:val="000000"/>
          <w:lang w:eastAsia="es-CO"/>
        </w:rPr>
      </w:pPr>
    </w:p>
    <w:p w14:paraId="015FFB68" w14:textId="5D5C0C6A" w:rsidR="00FD7724" w:rsidRPr="007541C3" w:rsidRDefault="00FD7724" w:rsidP="0075693B">
      <w:pPr>
        <w:spacing w:before="100" w:beforeAutospacing="1" w:after="100" w:afterAutospacing="1" w:line="240" w:lineRule="auto"/>
        <w:rPr>
          <w:rFonts w:ascii="Arial" w:eastAsia="Times New Roman" w:hAnsi="Arial" w:cs="Arial"/>
          <w:color w:val="000000"/>
          <w:lang w:eastAsia="es-CO"/>
        </w:rPr>
      </w:pPr>
      <w:r w:rsidRPr="007541C3">
        <w:rPr>
          <w:rFonts w:ascii="Arial" w:eastAsia="Times New Roman" w:hAnsi="Arial" w:cs="Arial"/>
          <w:color w:val="000000"/>
          <w:lang w:eastAsia="es-CO"/>
        </w:rPr>
        <w:t>Atentamente,</w:t>
      </w:r>
    </w:p>
    <w:p w14:paraId="4D8570E4" w14:textId="77777777" w:rsidR="00CB2AC3" w:rsidRDefault="00CB2AC3" w:rsidP="00175C14">
      <w:pPr>
        <w:spacing w:after="0" w:line="240" w:lineRule="auto"/>
        <w:rPr>
          <w:rFonts w:ascii="Arial" w:eastAsia="Times New Roman" w:hAnsi="Arial" w:cs="Arial"/>
          <w:color w:val="000000"/>
          <w:sz w:val="16"/>
          <w:szCs w:val="16"/>
          <w:lang w:eastAsia="es-CO"/>
        </w:rPr>
      </w:pPr>
    </w:p>
    <w:p w14:paraId="1AC1D233" w14:textId="0DD61251" w:rsidR="009305F4" w:rsidRDefault="00FD7724" w:rsidP="00175C14">
      <w:pPr>
        <w:spacing w:after="0" w:line="240" w:lineRule="auto"/>
        <w:rPr>
          <w:rFonts w:ascii="Arial" w:eastAsia="Times New Roman" w:hAnsi="Arial" w:cs="Arial"/>
          <w:color w:val="000000"/>
          <w:sz w:val="16"/>
          <w:szCs w:val="16"/>
          <w:lang w:eastAsia="es-CO"/>
        </w:rPr>
      </w:pPr>
      <w:r w:rsidRPr="00732770">
        <w:rPr>
          <w:rFonts w:ascii="Arial" w:eastAsia="Times New Roman" w:hAnsi="Arial" w:cs="Arial"/>
          <w:color w:val="000000"/>
          <w:sz w:val="16"/>
          <w:szCs w:val="16"/>
          <w:lang w:eastAsia="es-CO"/>
        </w:rPr>
        <w:t xml:space="preserve">Elaboró: </w:t>
      </w:r>
      <w:r w:rsidR="00732770">
        <w:rPr>
          <w:rFonts w:ascii="Arial" w:eastAsia="Times New Roman" w:hAnsi="Arial" w:cs="Arial"/>
          <w:color w:val="000000"/>
          <w:sz w:val="16"/>
          <w:szCs w:val="16"/>
          <w:lang w:eastAsia="es-CO"/>
        </w:rPr>
        <w:t xml:space="preserve"> </w:t>
      </w:r>
      <w:r w:rsidR="003C086D">
        <w:rPr>
          <w:rFonts w:ascii="Arial" w:eastAsia="Times New Roman" w:hAnsi="Arial" w:cs="Arial"/>
          <w:color w:val="000000"/>
          <w:sz w:val="16"/>
          <w:szCs w:val="16"/>
          <w:lang w:eastAsia="es-CO"/>
        </w:rPr>
        <w:t>Andrea Camila Márquez</w:t>
      </w:r>
      <w:r w:rsidR="00021FB9" w:rsidRPr="00732770">
        <w:rPr>
          <w:rFonts w:ascii="Arial" w:eastAsia="Times New Roman" w:hAnsi="Arial" w:cs="Arial"/>
          <w:color w:val="000000"/>
          <w:sz w:val="16"/>
          <w:szCs w:val="16"/>
          <w:lang w:eastAsia="es-CO"/>
        </w:rPr>
        <w:t xml:space="preserve"> / Subdirección de Vigilancia en Salud Pública</w:t>
      </w:r>
    </w:p>
    <w:p w14:paraId="0852DED5" w14:textId="4C5CBA95" w:rsidR="003C086D" w:rsidRPr="00732770" w:rsidRDefault="003C086D" w:rsidP="003C086D">
      <w:pPr>
        <w:spacing w:after="0" w:line="240" w:lineRule="auto"/>
        <w:ind w:firstLine="708"/>
        <w:rPr>
          <w:rFonts w:ascii="Arial" w:eastAsia="Times New Roman" w:hAnsi="Arial" w:cs="Arial"/>
          <w:color w:val="000000"/>
          <w:sz w:val="16"/>
          <w:szCs w:val="16"/>
          <w:lang w:eastAsia="es-CO"/>
        </w:rPr>
      </w:pPr>
      <w:r>
        <w:rPr>
          <w:rFonts w:ascii="Arial" w:eastAsia="Times New Roman" w:hAnsi="Arial" w:cs="Arial"/>
          <w:color w:val="000000"/>
          <w:sz w:val="16"/>
          <w:szCs w:val="16"/>
          <w:lang w:eastAsia="es-CO"/>
        </w:rPr>
        <w:t>Sonia Gigliola Corchuelo</w:t>
      </w:r>
      <w:r w:rsidRPr="00732770">
        <w:rPr>
          <w:rFonts w:ascii="Arial" w:eastAsia="Times New Roman" w:hAnsi="Arial" w:cs="Arial"/>
          <w:color w:val="000000"/>
          <w:sz w:val="16"/>
          <w:szCs w:val="16"/>
          <w:lang w:eastAsia="es-CO"/>
        </w:rPr>
        <w:t xml:space="preserve"> / Subdirección de Vigilancia en Salud Pública</w:t>
      </w:r>
    </w:p>
    <w:p w14:paraId="0FD05E17" w14:textId="5661F607" w:rsidR="005005B7" w:rsidRPr="00732770" w:rsidRDefault="00732770" w:rsidP="00021FB9">
      <w:pPr>
        <w:spacing w:after="0" w:line="240" w:lineRule="auto"/>
        <w:ind w:firstLine="708"/>
        <w:rPr>
          <w:rFonts w:ascii="Arial" w:eastAsia="Times New Roman" w:hAnsi="Arial" w:cs="Arial"/>
          <w:color w:val="000000"/>
          <w:sz w:val="16"/>
          <w:szCs w:val="16"/>
          <w:lang w:eastAsia="es-CO"/>
        </w:rPr>
      </w:pPr>
      <w:r w:rsidRPr="00732770">
        <w:rPr>
          <w:rFonts w:ascii="Arial" w:eastAsia="Times New Roman" w:hAnsi="Arial" w:cs="Arial"/>
          <w:color w:val="000000"/>
          <w:sz w:val="16"/>
          <w:szCs w:val="16"/>
          <w:lang w:eastAsia="es-CO"/>
        </w:rPr>
        <w:t>Jorge Andrés Escobar</w:t>
      </w:r>
      <w:r w:rsidR="00DE5EB7" w:rsidRPr="00732770">
        <w:rPr>
          <w:rFonts w:ascii="Arial" w:eastAsia="Times New Roman" w:hAnsi="Arial" w:cs="Arial"/>
          <w:color w:val="000000"/>
          <w:sz w:val="16"/>
          <w:szCs w:val="16"/>
          <w:lang w:eastAsia="es-CO"/>
        </w:rPr>
        <w:t xml:space="preserve"> / Subdirección de vigilancia en </w:t>
      </w:r>
      <w:r w:rsidR="00175C14" w:rsidRPr="00732770">
        <w:rPr>
          <w:rFonts w:ascii="Arial" w:eastAsia="Times New Roman" w:hAnsi="Arial" w:cs="Arial"/>
          <w:color w:val="000000"/>
          <w:sz w:val="16"/>
          <w:szCs w:val="16"/>
          <w:lang w:eastAsia="es-CO"/>
        </w:rPr>
        <w:t>S</w:t>
      </w:r>
      <w:r w:rsidR="00DE5EB7" w:rsidRPr="00732770">
        <w:rPr>
          <w:rFonts w:ascii="Arial" w:eastAsia="Times New Roman" w:hAnsi="Arial" w:cs="Arial"/>
          <w:color w:val="000000"/>
          <w:sz w:val="16"/>
          <w:szCs w:val="16"/>
          <w:lang w:eastAsia="es-CO"/>
        </w:rPr>
        <w:t xml:space="preserve">alud </w:t>
      </w:r>
      <w:r w:rsidR="00175C14" w:rsidRPr="00732770">
        <w:rPr>
          <w:rFonts w:ascii="Arial" w:eastAsia="Times New Roman" w:hAnsi="Arial" w:cs="Arial"/>
          <w:color w:val="000000"/>
          <w:sz w:val="16"/>
          <w:szCs w:val="16"/>
          <w:lang w:eastAsia="es-CO"/>
        </w:rPr>
        <w:t>P</w:t>
      </w:r>
      <w:r w:rsidR="00DE5EB7" w:rsidRPr="00732770">
        <w:rPr>
          <w:rFonts w:ascii="Arial" w:eastAsia="Times New Roman" w:hAnsi="Arial" w:cs="Arial"/>
          <w:color w:val="000000"/>
          <w:sz w:val="16"/>
          <w:szCs w:val="16"/>
          <w:lang w:eastAsia="es-CO"/>
        </w:rPr>
        <w:t>ública</w:t>
      </w:r>
    </w:p>
    <w:sectPr w:rsidR="005005B7" w:rsidRPr="0073277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0F99" w14:textId="77777777" w:rsidR="00DE3668" w:rsidRDefault="00DE3668" w:rsidP="00AC4E0B">
      <w:pPr>
        <w:spacing w:after="0" w:line="240" w:lineRule="auto"/>
      </w:pPr>
      <w:r>
        <w:separator/>
      </w:r>
    </w:p>
  </w:endnote>
  <w:endnote w:type="continuationSeparator" w:id="0">
    <w:p w14:paraId="191108C0" w14:textId="77777777" w:rsidR="00DE3668" w:rsidRDefault="00DE3668" w:rsidP="00AC4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quot;Aptos&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nt424">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1766" w14:textId="77777777" w:rsidR="00DE3668" w:rsidRDefault="00DE3668" w:rsidP="00AC4E0B">
      <w:pPr>
        <w:spacing w:after="0" w:line="240" w:lineRule="auto"/>
      </w:pPr>
      <w:r>
        <w:separator/>
      </w:r>
    </w:p>
  </w:footnote>
  <w:footnote w:type="continuationSeparator" w:id="0">
    <w:p w14:paraId="43B48262" w14:textId="77777777" w:rsidR="00DE3668" w:rsidRDefault="00DE3668" w:rsidP="00AC4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2009"/>
    <w:multiLevelType w:val="hybridMultilevel"/>
    <w:tmpl w:val="7716EF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A96852"/>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712FB7"/>
    <w:multiLevelType w:val="hybridMultilevel"/>
    <w:tmpl w:val="8F645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4014"/>
    <w:multiLevelType w:val="hybridMultilevel"/>
    <w:tmpl w:val="1924CD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C7729E0"/>
    <w:multiLevelType w:val="hybridMultilevel"/>
    <w:tmpl w:val="57001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0B0554"/>
    <w:multiLevelType w:val="hybridMultilevel"/>
    <w:tmpl w:val="A4025964"/>
    <w:lvl w:ilvl="0" w:tplc="B8C60226">
      <w:start w:val="12"/>
      <w:numFmt w:val="bullet"/>
      <w:lvlText w:val="-"/>
      <w:lvlJc w:val="left"/>
      <w:pPr>
        <w:ind w:left="720" w:hanging="360"/>
      </w:pPr>
      <w:rPr>
        <w:rFonts w:ascii="Arial Narrow" w:eastAsia="Calibri" w:hAnsi="Arial Narro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270C3B53"/>
    <w:multiLevelType w:val="hybridMultilevel"/>
    <w:tmpl w:val="0FEC21A2"/>
    <w:lvl w:ilvl="0" w:tplc="240A000F">
      <w:start w:val="1"/>
      <w:numFmt w:val="decimal"/>
      <w:lvlText w:val="%1."/>
      <w:lvlJc w:val="left"/>
      <w:pPr>
        <w:ind w:left="720" w:hanging="360"/>
      </w:pPr>
    </w:lvl>
    <w:lvl w:ilvl="1" w:tplc="90BAB71C">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082305"/>
    <w:multiLevelType w:val="hybridMultilevel"/>
    <w:tmpl w:val="54D02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A42846"/>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42661167"/>
    <w:multiLevelType w:val="hybridMultilevel"/>
    <w:tmpl w:val="AE3CB0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547725"/>
    <w:multiLevelType w:val="hybridMultilevel"/>
    <w:tmpl w:val="4596E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D2EEBA"/>
    <w:multiLevelType w:val="hybridMultilevel"/>
    <w:tmpl w:val="CFDCE3DA"/>
    <w:lvl w:ilvl="0" w:tplc="C4604CA0">
      <w:start w:val="1"/>
      <w:numFmt w:val="bullet"/>
      <w:lvlText w:val="-"/>
      <w:lvlJc w:val="left"/>
      <w:pPr>
        <w:ind w:left="720" w:hanging="360"/>
      </w:pPr>
      <w:rPr>
        <w:rFonts w:ascii="&quot;Aptos&quot;,sans-serif" w:hAnsi="&quot;Aptos&quot;,sans-serif" w:hint="default"/>
      </w:rPr>
    </w:lvl>
    <w:lvl w:ilvl="1" w:tplc="14EE464E">
      <w:start w:val="1"/>
      <w:numFmt w:val="bullet"/>
      <w:lvlText w:val="o"/>
      <w:lvlJc w:val="left"/>
      <w:pPr>
        <w:ind w:left="1440" w:hanging="360"/>
      </w:pPr>
      <w:rPr>
        <w:rFonts w:ascii="Courier New" w:hAnsi="Courier New" w:hint="default"/>
      </w:rPr>
    </w:lvl>
    <w:lvl w:ilvl="2" w:tplc="96E66890">
      <w:start w:val="1"/>
      <w:numFmt w:val="bullet"/>
      <w:lvlText w:val=""/>
      <w:lvlJc w:val="left"/>
      <w:pPr>
        <w:ind w:left="2160" w:hanging="360"/>
      </w:pPr>
      <w:rPr>
        <w:rFonts w:ascii="Wingdings" w:hAnsi="Wingdings" w:hint="default"/>
      </w:rPr>
    </w:lvl>
    <w:lvl w:ilvl="3" w:tplc="E4ECACAA">
      <w:start w:val="1"/>
      <w:numFmt w:val="bullet"/>
      <w:lvlText w:val=""/>
      <w:lvlJc w:val="left"/>
      <w:pPr>
        <w:ind w:left="2880" w:hanging="360"/>
      </w:pPr>
      <w:rPr>
        <w:rFonts w:ascii="Symbol" w:hAnsi="Symbol" w:hint="default"/>
      </w:rPr>
    </w:lvl>
    <w:lvl w:ilvl="4" w:tplc="9B520F1A">
      <w:start w:val="1"/>
      <w:numFmt w:val="bullet"/>
      <w:lvlText w:val="o"/>
      <w:lvlJc w:val="left"/>
      <w:pPr>
        <w:ind w:left="3600" w:hanging="360"/>
      </w:pPr>
      <w:rPr>
        <w:rFonts w:ascii="Courier New" w:hAnsi="Courier New" w:hint="default"/>
      </w:rPr>
    </w:lvl>
    <w:lvl w:ilvl="5" w:tplc="BFE2E452">
      <w:start w:val="1"/>
      <w:numFmt w:val="bullet"/>
      <w:lvlText w:val=""/>
      <w:lvlJc w:val="left"/>
      <w:pPr>
        <w:ind w:left="4320" w:hanging="360"/>
      </w:pPr>
      <w:rPr>
        <w:rFonts w:ascii="Wingdings" w:hAnsi="Wingdings" w:hint="default"/>
      </w:rPr>
    </w:lvl>
    <w:lvl w:ilvl="6" w:tplc="C6C89D62">
      <w:start w:val="1"/>
      <w:numFmt w:val="bullet"/>
      <w:lvlText w:val=""/>
      <w:lvlJc w:val="left"/>
      <w:pPr>
        <w:ind w:left="5040" w:hanging="360"/>
      </w:pPr>
      <w:rPr>
        <w:rFonts w:ascii="Symbol" w:hAnsi="Symbol" w:hint="default"/>
      </w:rPr>
    </w:lvl>
    <w:lvl w:ilvl="7" w:tplc="3A14648C">
      <w:start w:val="1"/>
      <w:numFmt w:val="bullet"/>
      <w:lvlText w:val="o"/>
      <w:lvlJc w:val="left"/>
      <w:pPr>
        <w:ind w:left="5760" w:hanging="360"/>
      </w:pPr>
      <w:rPr>
        <w:rFonts w:ascii="Courier New" w:hAnsi="Courier New" w:hint="default"/>
      </w:rPr>
    </w:lvl>
    <w:lvl w:ilvl="8" w:tplc="A5D69B18">
      <w:start w:val="1"/>
      <w:numFmt w:val="bullet"/>
      <w:lvlText w:val=""/>
      <w:lvlJc w:val="left"/>
      <w:pPr>
        <w:ind w:left="6480" w:hanging="360"/>
      </w:pPr>
      <w:rPr>
        <w:rFonts w:ascii="Wingdings" w:hAnsi="Wingdings" w:hint="default"/>
      </w:rPr>
    </w:lvl>
  </w:abstractNum>
  <w:abstractNum w:abstractNumId="12" w15:restartNumberingAfterBreak="0">
    <w:nsid w:val="5AAF2E6F"/>
    <w:multiLevelType w:val="hybridMultilevel"/>
    <w:tmpl w:val="33FCC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FEA6C9B"/>
    <w:multiLevelType w:val="hybridMultilevel"/>
    <w:tmpl w:val="A0CC3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5314792"/>
    <w:multiLevelType w:val="hybridMultilevel"/>
    <w:tmpl w:val="569057D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6AEE6881"/>
    <w:multiLevelType w:val="hybridMultilevel"/>
    <w:tmpl w:val="95F08D6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6D367C29"/>
    <w:multiLevelType w:val="hybridMultilevel"/>
    <w:tmpl w:val="1E16A86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6D692585"/>
    <w:multiLevelType w:val="hybridMultilevel"/>
    <w:tmpl w:val="30E6439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71B27D5C"/>
    <w:multiLevelType w:val="hybridMultilevel"/>
    <w:tmpl w:val="06BCC6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2207518"/>
    <w:multiLevelType w:val="hybridMultilevel"/>
    <w:tmpl w:val="8ACAC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18659439">
    <w:abstractNumId w:val="2"/>
  </w:num>
  <w:num w:numId="2" w16cid:durableId="476919279">
    <w:abstractNumId w:val="18"/>
  </w:num>
  <w:num w:numId="3" w16cid:durableId="1166167549">
    <w:abstractNumId w:val="19"/>
  </w:num>
  <w:num w:numId="4" w16cid:durableId="2007247604">
    <w:abstractNumId w:val="11"/>
  </w:num>
  <w:num w:numId="5" w16cid:durableId="51737348">
    <w:abstractNumId w:val="6"/>
  </w:num>
  <w:num w:numId="6" w16cid:durableId="42759310">
    <w:abstractNumId w:val="1"/>
  </w:num>
  <w:num w:numId="7" w16cid:durableId="964962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7014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240">
    <w:abstractNumId w:val="5"/>
  </w:num>
  <w:num w:numId="10" w16cid:durableId="1880120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379273">
    <w:abstractNumId w:val="8"/>
  </w:num>
  <w:num w:numId="12" w16cid:durableId="1369574666">
    <w:abstractNumId w:val="16"/>
  </w:num>
  <w:num w:numId="13" w16cid:durableId="1966037472">
    <w:abstractNumId w:val="3"/>
  </w:num>
  <w:num w:numId="14" w16cid:durableId="242573041">
    <w:abstractNumId w:val="0"/>
  </w:num>
  <w:num w:numId="15" w16cid:durableId="2094426271">
    <w:abstractNumId w:val="12"/>
  </w:num>
  <w:num w:numId="16" w16cid:durableId="1453088565">
    <w:abstractNumId w:val="10"/>
  </w:num>
  <w:num w:numId="17" w16cid:durableId="2058702114">
    <w:abstractNumId w:val="13"/>
  </w:num>
  <w:num w:numId="18" w16cid:durableId="1289241141">
    <w:abstractNumId w:val="4"/>
  </w:num>
  <w:num w:numId="19" w16cid:durableId="1952737521">
    <w:abstractNumId w:val="7"/>
  </w:num>
  <w:num w:numId="20" w16cid:durableId="9345103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B0D"/>
    <w:rsid w:val="00016D09"/>
    <w:rsid w:val="00021FB9"/>
    <w:rsid w:val="00032D28"/>
    <w:rsid w:val="00051C03"/>
    <w:rsid w:val="000539A2"/>
    <w:rsid w:val="00056FCD"/>
    <w:rsid w:val="000747D6"/>
    <w:rsid w:val="000B0D6A"/>
    <w:rsid w:val="000C1D1D"/>
    <w:rsid w:val="000C2803"/>
    <w:rsid w:val="000F4B8C"/>
    <w:rsid w:val="000F72B1"/>
    <w:rsid w:val="00105216"/>
    <w:rsid w:val="00112217"/>
    <w:rsid w:val="00114734"/>
    <w:rsid w:val="00130264"/>
    <w:rsid w:val="0013568F"/>
    <w:rsid w:val="00142425"/>
    <w:rsid w:val="001625C5"/>
    <w:rsid w:val="00175C14"/>
    <w:rsid w:val="00175C5C"/>
    <w:rsid w:val="001C64AB"/>
    <w:rsid w:val="001C6E11"/>
    <w:rsid w:val="001F2C65"/>
    <w:rsid w:val="001F715E"/>
    <w:rsid w:val="00245EAA"/>
    <w:rsid w:val="0025180B"/>
    <w:rsid w:val="00254066"/>
    <w:rsid w:val="00264311"/>
    <w:rsid w:val="00276751"/>
    <w:rsid w:val="00283971"/>
    <w:rsid w:val="002948F0"/>
    <w:rsid w:val="002A1286"/>
    <w:rsid w:val="002A4420"/>
    <w:rsid w:val="002B3023"/>
    <w:rsid w:val="002B4734"/>
    <w:rsid w:val="002B474C"/>
    <w:rsid w:val="002B65E5"/>
    <w:rsid w:val="002C26EA"/>
    <w:rsid w:val="002F42A8"/>
    <w:rsid w:val="003173C3"/>
    <w:rsid w:val="00321E20"/>
    <w:rsid w:val="003308FD"/>
    <w:rsid w:val="00331205"/>
    <w:rsid w:val="00337D6A"/>
    <w:rsid w:val="003454B8"/>
    <w:rsid w:val="003B20B0"/>
    <w:rsid w:val="003B2265"/>
    <w:rsid w:val="003B6722"/>
    <w:rsid w:val="003C086D"/>
    <w:rsid w:val="003C0E8D"/>
    <w:rsid w:val="003D1654"/>
    <w:rsid w:val="003E4DD4"/>
    <w:rsid w:val="003F6129"/>
    <w:rsid w:val="003F77E1"/>
    <w:rsid w:val="00434CD8"/>
    <w:rsid w:val="004405FD"/>
    <w:rsid w:val="00474681"/>
    <w:rsid w:val="00481841"/>
    <w:rsid w:val="004C2FCF"/>
    <w:rsid w:val="004D2DC5"/>
    <w:rsid w:val="004D2E32"/>
    <w:rsid w:val="004D3F9A"/>
    <w:rsid w:val="004D672F"/>
    <w:rsid w:val="004E76BB"/>
    <w:rsid w:val="005005B7"/>
    <w:rsid w:val="0051080E"/>
    <w:rsid w:val="00540889"/>
    <w:rsid w:val="005421D2"/>
    <w:rsid w:val="00563AED"/>
    <w:rsid w:val="005944F1"/>
    <w:rsid w:val="005A574E"/>
    <w:rsid w:val="005D4938"/>
    <w:rsid w:val="005D6530"/>
    <w:rsid w:val="005F5861"/>
    <w:rsid w:val="00617A71"/>
    <w:rsid w:val="00646622"/>
    <w:rsid w:val="00684458"/>
    <w:rsid w:val="0068577F"/>
    <w:rsid w:val="00695875"/>
    <w:rsid w:val="006A420C"/>
    <w:rsid w:val="006A6940"/>
    <w:rsid w:val="006B7306"/>
    <w:rsid w:val="006F0202"/>
    <w:rsid w:val="006F3327"/>
    <w:rsid w:val="00711FE2"/>
    <w:rsid w:val="0071452F"/>
    <w:rsid w:val="00732770"/>
    <w:rsid w:val="007329D6"/>
    <w:rsid w:val="00735DF5"/>
    <w:rsid w:val="007529FD"/>
    <w:rsid w:val="007535C9"/>
    <w:rsid w:val="007541C3"/>
    <w:rsid w:val="00755BCB"/>
    <w:rsid w:val="0075693B"/>
    <w:rsid w:val="007755AA"/>
    <w:rsid w:val="007B1224"/>
    <w:rsid w:val="007C241E"/>
    <w:rsid w:val="00813400"/>
    <w:rsid w:val="0081513E"/>
    <w:rsid w:val="00815329"/>
    <w:rsid w:val="00821877"/>
    <w:rsid w:val="008336F7"/>
    <w:rsid w:val="00837A1A"/>
    <w:rsid w:val="00844C11"/>
    <w:rsid w:val="00853275"/>
    <w:rsid w:val="00880D8E"/>
    <w:rsid w:val="008864D4"/>
    <w:rsid w:val="0088773E"/>
    <w:rsid w:val="008A18BC"/>
    <w:rsid w:val="008D0481"/>
    <w:rsid w:val="00920614"/>
    <w:rsid w:val="00920B3B"/>
    <w:rsid w:val="009305F4"/>
    <w:rsid w:val="00951CDE"/>
    <w:rsid w:val="00956459"/>
    <w:rsid w:val="00960B0D"/>
    <w:rsid w:val="009829F1"/>
    <w:rsid w:val="009B7762"/>
    <w:rsid w:val="009B7AB2"/>
    <w:rsid w:val="009D69E5"/>
    <w:rsid w:val="009F7169"/>
    <w:rsid w:val="00A2592B"/>
    <w:rsid w:val="00A4315C"/>
    <w:rsid w:val="00A61C42"/>
    <w:rsid w:val="00A651FC"/>
    <w:rsid w:val="00AB0707"/>
    <w:rsid w:val="00AC4E0B"/>
    <w:rsid w:val="00AD0F93"/>
    <w:rsid w:val="00AE0236"/>
    <w:rsid w:val="00B07438"/>
    <w:rsid w:val="00B11E19"/>
    <w:rsid w:val="00B15A68"/>
    <w:rsid w:val="00B21118"/>
    <w:rsid w:val="00B40504"/>
    <w:rsid w:val="00B45BB3"/>
    <w:rsid w:val="00B511CD"/>
    <w:rsid w:val="00B52273"/>
    <w:rsid w:val="00B842E7"/>
    <w:rsid w:val="00B9642D"/>
    <w:rsid w:val="00BA1C18"/>
    <w:rsid w:val="00BA1EF2"/>
    <w:rsid w:val="00BB1FEB"/>
    <w:rsid w:val="00BC41EA"/>
    <w:rsid w:val="00BC5191"/>
    <w:rsid w:val="00BE6147"/>
    <w:rsid w:val="00C02F03"/>
    <w:rsid w:val="00C26D4A"/>
    <w:rsid w:val="00C30969"/>
    <w:rsid w:val="00C5097D"/>
    <w:rsid w:val="00C66E96"/>
    <w:rsid w:val="00C95BA9"/>
    <w:rsid w:val="00CB2AC3"/>
    <w:rsid w:val="00CC02C7"/>
    <w:rsid w:val="00CC3A1D"/>
    <w:rsid w:val="00CD2126"/>
    <w:rsid w:val="00CD55A3"/>
    <w:rsid w:val="00D27BB8"/>
    <w:rsid w:val="00D373EB"/>
    <w:rsid w:val="00D439B8"/>
    <w:rsid w:val="00D528AF"/>
    <w:rsid w:val="00D546A3"/>
    <w:rsid w:val="00D56352"/>
    <w:rsid w:val="00D80137"/>
    <w:rsid w:val="00D873BD"/>
    <w:rsid w:val="00DA2EC6"/>
    <w:rsid w:val="00DB7267"/>
    <w:rsid w:val="00DC561F"/>
    <w:rsid w:val="00DE3668"/>
    <w:rsid w:val="00DE5EB7"/>
    <w:rsid w:val="00E11248"/>
    <w:rsid w:val="00E146C0"/>
    <w:rsid w:val="00E23459"/>
    <w:rsid w:val="00E4361A"/>
    <w:rsid w:val="00E621C1"/>
    <w:rsid w:val="00E66741"/>
    <w:rsid w:val="00E73ABA"/>
    <w:rsid w:val="00ED086C"/>
    <w:rsid w:val="00ED56D5"/>
    <w:rsid w:val="00F25A8B"/>
    <w:rsid w:val="00F43291"/>
    <w:rsid w:val="00F665E5"/>
    <w:rsid w:val="00F736BB"/>
    <w:rsid w:val="00F82540"/>
    <w:rsid w:val="00F82EA5"/>
    <w:rsid w:val="00F923F7"/>
    <w:rsid w:val="00FA796E"/>
    <w:rsid w:val="00FC2EA7"/>
    <w:rsid w:val="00FD0C6B"/>
    <w:rsid w:val="00FD7724"/>
    <w:rsid w:val="00FE1A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904F6"/>
  <w15:chartTrackingRefBased/>
  <w15:docId w15:val="{959866A3-44B4-49D8-B690-0D67EA71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F43291"/>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4">
    <w:name w:val="heading 4"/>
    <w:basedOn w:val="Normal"/>
    <w:next w:val="Normal"/>
    <w:link w:val="Ttulo4Car"/>
    <w:uiPriority w:val="9"/>
    <w:semiHidden/>
    <w:unhideWhenUsed/>
    <w:qFormat/>
    <w:rsid w:val="00F432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qFormat/>
    <w:rsid w:val="00960B0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72"/>
    <w:qFormat/>
    <w:rsid w:val="00960B0D"/>
    <w:pPr>
      <w:ind w:left="720"/>
      <w:contextualSpacing/>
    </w:pPr>
  </w:style>
  <w:style w:type="character" w:customStyle="1" w:styleId="Ttulo2Car">
    <w:name w:val="Título 2 Car"/>
    <w:basedOn w:val="Fuentedeprrafopredeter"/>
    <w:link w:val="Ttulo2"/>
    <w:uiPriority w:val="9"/>
    <w:rsid w:val="00F43291"/>
    <w:rPr>
      <w:rFonts w:ascii="Times New Roman" w:eastAsia="Times New Roman" w:hAnsi="Times New Roman" w:cs="Times New Roman"/>
      <w:b/>
      <w:bCs/>
      <w:sz w:val="36"/>
      <w:szCs w:val="36"/>
      <w:lang w:eastAsia="es-CO"/>
    </w:rPr>
  </w:style>
  <w:style w:type="character" w:customStyle="1" w:styleId="Ttulo4Car">
    <w:name w:val="Título 4 Car"/>
    <w:basedOn w:val="Fuentedeprrafopredeter"/>
    <w:link w:val="Ttulo4"/>
    <w:uiPriority w:val="9"/>
    <w:semiHidden/>
    <w:rsid w:val="00F43291"/>
    <w:rPr>
      <w:rFonts w:asciiTheme="majorHAnsi" w:eastAsiaTheme="majorEastAsia" w:hAnsiTheme="majorHAnsi" w:cstheme="majorBidi"/>
      <w:i/>
      <w:iCs/>
      <w:color w:val="2E74B5" w:themeColor="accent1" w:themeShade="BF"/>
    </w:rPr>
  </w:style>
  <w:style w:type="character" w:styleId="Hipervnculo">
    <w:name w:val="Hyperlink"/>
    <w:basedOn w:val="Fuentedeprrafopredeter"/>
    <w:uiPriority w:val="99"/>
    <w:unhideWhenUsed/>
    <w:rsid w:val="004D2E32"/>
    <w:rPr>
      <w:color w:val="0000FF"/>
      <w:u w:val="single"/>
    </w:rPr>
  </w:style>
  <w:style w:type="paragraph" w:customStyle="1" w:styleId="Default">
    <w:name w:val="Default"/>
    <w:rsid w:val="004D2E32"/>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AC4E0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C4E0B"/>
    <w:rPr>
      <w:sz w:val="20"/>
      <w:szCs w:val="20"/>
    </w:rPr>
  </w:style>
  <w:style w:type="character" w:styleId="Refdenotaalpie">
    <w:name w:val="footnote reference"/>
    <w:basedOn w:val="Fuentedeprrafopredeter"/>
    <w:uiPriority w:val="99"/>
    <w:semiHidden/>
    <w:unhideWhenUsed/>
    <w:rsid w:val="00AC4E0B"/>
    <w:rPr>
      <w:vertAlign w:val="superscript"/>
    </w:rPr>
  </w:style>
  <w:style w:type="paragraph" w:customStyle="1" w:styleId="xmsonormal">
    <w:name w:val="x_msonormal"/>
    <w:basedOn w:val="Normal"/>
    <w:uiPriority w:val="99"/>
    <w:rsid w:val="00C26D4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xcontentpasted0">
    <w:name w:val="x_contentpasted0"/>
    <w:basedOn w:val="Fuentedeprrafopredeter"/>
    <w:rsid w:val="00C26D4A"/>
  </w:style>
  <w:style w:type="character" w:styleId="nfasis">
    <w:name w:val="Emphasis"/>
    <w:basedOn w:val="Fuentedeprrafopredeter"/>
    <w:uiPriority w:val="20"/>
    <w:qFormat/>
    <w:rsid w:val="00AD0F93"/>
    <w:rPr>
      <w:i/>
      <w:iC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72"/>
    <w:qFormat/>
    <w:locked/>
    <w:rsid w:val="00AD0F93"/>
  </w:style>
  <w:style w:type="character" w:styleId="Fuerte">
    <w:name w:val="Strong"/>
    <w:basedOn w:val="Fuentedeprrafopredeter"/>
    <w:uiPriority w:val="22"/>
    <w:qFormat/>
    <w:rsid w:val="00B21118"/>
    <w:rPr>
      <w:b/>
      <w:bCs/>
    </w:rPr>
  </w:style>
  <w:style w:type="character" w:customStyle="1" w:styleId="normaltextrun">
    <w:name w:val="normaltextrun"/>
    <w:basedOn w:val="Fuentedeprrafopredeter"/>
    <w:rsid w:val="00C30969"/>
  </w:style>
  <w:style w:type="paragraph" w:customStyle="1" w:styleId="Sinespaciado1">
    <w:name w:val="Sin espaciado1"/>
    <w:uiPriority w:val="99"/>
    <w:qFormat/>
    <w:rsid w:val="00C30969"/>
    <w:pPr>
      <w:suppressAutoHyphens/>
      <w:spacing w:after="0" w:line="240" w:lineRule="auto"/>
    </w:pPr>
    <w:rPr>
      <w:rFonts w:ascii="Calibri" w:eastAsia="Calibri" w:hAnsi="Calibri" w:cs="font424"/>
      <w:color w:val="00000A"/>
      <w:kern w:val="2"/>
    </w:rPr>
  </w:style>
  <w:style w:type="table" w:styleId="Tablaconcuadrcula">
    <w:name w:val="Table Grid"/>
    <w:basedOn w:val="Tablanormal"/>
    <w:uiPriority w:val="39"/>
    <w:qFormat/>
    <w:rsid w:val="00C3096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a">
    <w:name w:val="cuerpoa"/>
    <w:basedOn w:val="Normal"/>
    <w:rsid w:val="00837A1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inguno">
    <w:name w:val="ninguno"/>
    <w:basedOn w:val="Fuentedeprrafopredeter"/>
    <w:rsid w:val="00837A1A"/>
  </w:style>
  <w:style w:type="paragraph" w:styleId="Textoindependiente">
    <w:name w:val="Body Text"/>
    <w:basedOn w:val="Normal"/>
    <w:link w:val="TextoindependienteCar"/>
    <w:semiHidden/>
    <w:unhideWhenUsed/>
    <w:qFormat/>
    <w:rsid w:val="00920614"/>
    <w:pPr>
      <w:widowControl w:val="0"/>
      <w:suppressAutoHyphens/>
      <w:spacing w:after="120" w:line="100" w:lineRule="atLeast"/>
    </w:pPr>
    <w:rPr>
      <w:rFonts w:ascii="Times New Roman" w:eastAsia="Arial Unicode MS" w:hAnsi="Times New Roman" w:cs="Tahoma"/>
      <w:color w:val="00000A"/>
      <w:sz w:val="24"/>
      <w:szCs w:val="24"/>
      <w:lang w:val="es-ES" w:eastAsia="es-CO"/>
    </w:rPr>
  </w:style>
  <w:style w:type="character" w:customStyle="1" w:styleId="TextoindependienteCar">
    <w:name w:val="Texto independiente Car"/>
    <w:basedOn w:val="Fuentedeprrafopredeter"/>
    <w:link w:val="Textoindependiente"/>
    <w:semiHidden/>
    <w:rsid w:val="00920614"/>
    <w:rPr>
      <w:rFonts w:ascii="Times New Roman" w:eastAsia="Arial Unicode MS" w:hAnsi="Times New Roman" w:cs="Tahoma"/>
      <w:color w:val="00000A"/>
      <w:sz w:val="24"/>
      <w:szCs w:val="24"/>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345">
      <w:bodyDiv w:val="1"/>
      <w:marLeft w:val="0"/>
      <w:marRight w:val="0"/>
      <w:marTop w:val="0"/>
      <w:marBottom w:val="0"/>
      <w:divBdr>
        <w:top w:val="none" w:sz="0" w:space="0" w:color="auto"/>
        <w:left w:val="none" w:sz="0" w:space="0" w:color="auto"/>
        <w:bottom w:val="none" w:sz="0" w:space="0" w:color="auto"/>
        <w:right w:val="none" w:sz="0" w:space="0" w:color="auto"/>
      </w:divBdr>
    </w:div>
    <w:div w:id="92554758">
      <w:bodyDiv w:val="1"/>
      <w:marLeft w:val="0"/>
      <w:marRight w:val="0"/>
      <w:marTop w:val="0"/>
      <w:marBottom w:val="0"/>
      <w:divBdr>
        <w:top w:val="none" w:sz="0" w:space="0" w:color="auto"/>
        <w:left w:val="none" w:sz="0" w:space="0" w:color="auto"/>
        <w:bottom w:val="none" w:sz="0" w:space="0" w:color="auto"/>
        <w:right w:val="none" w:sz="0" w:space="0" w:color="auto"/>
      </w:divBdr>
    </w:div>
    <w:div w:id="127087463">
      <w:bodyDiv w:val="1"/>
      <w:marLeft w:val="0"/>
      <w:marRight w:val="0"/>
      <w:marTop w:val="0"/>
      <w:marBottom w:val="0"/>
      <w:divBdr>
        <w:top w:val="none" w:sz="0" w:space="0" w:color="auto"/>
        <w:left w:val="none" w:sz="0" w:space="0" w:color="auto"/>
        <w:bottom w:val="none" w:sz="0" w:space="0" w:color="auto"/>
        <w:right w:val="none" w:sz="0" w:space="0" w:color="auto"/>
      </w:divBdr>
    </w:div>
    <w:div w:id="200676807">
      <w:bodyDiv w:val="1"/>
      <w:marLeft w:val="0"/>
      <w:marRight w:val="0"/>
      <w:marTop w:val="0"/>
      <w:marBottom w:val="0"/>
      <w:divBdr>
        <w:top w:val="none" w:sz="0" w:space="0" w:color="auto"/>
        <w:left w:val="none" w:sz="0" w:space="0" w:color="auto"/>
        <w:bottom w:val="none" w:sz="0" w:space="0" w:color="auto"/>
        <w:right w:val="none" w:sz="0" w:space="0" w:color="auto"/>
      </w:divBdr>
    </w:div>
    <w:div w:id="221334320">
      <w:bodyDiv w:val="1"/>
      <w:marLeft w:val="0"/>
      <w:marRight w:val="0"/>
      <w:marTop w:val="0"/>
      <w:marBottom w:val="0"/>
      <w:divBdr>
        <w:top w:val="none" w:sz="0" w:space="0" w:color="auto"/>
        <w:left w:val="none" w:sz="0" w:space="0" w:color="auto"/>
        <w:bottom w:val="none" w:sz="0" w:space="0" w:color="auto"/>
        <w:right w:val="none" w:sz="0" w:space="0" w:color="auto"/>
      </w:divBdr>
    </w:div>
    <w:div w:id="258375211">
      <w:bodyDiv w:val="1"/>
      <w:marLeft w:val="0"/>
      <w:marRight w:val="0"/>
      <w:marTop w:val="0"/>
      <w:marBottom w:val="0"/>
      <w:divBdr>
        <w:top w:val="none" w:sz="0" w:space="0" w:color="auto"/>
        <w:left w:val="none" w:sz="0" w:space="0" w:color="auto"/>
        <w:bottom w:val="none" w:sz="0" w:space="0" w:color="auto"/>
        <w:right w:val="none" w:sz="0" w:space="0" w:color="auto"/>
      </w:divBdr>
    </w:div>
    <w:div w:id="276258104">
      <w:bodyDiv w:val="1"/>
      <w:marLeft w:val="0"/>
      <w:marRight w:val="0"/>
      <w:marTop w:val="0"/>
      <w:marBottom w:val="0"/>
      <w:divBdr>
        <w:top w:val="none" w:sz="0" w:space="0" w:color="auto"/>
        <w:left w:val="none" w:sz="0" w:space="0" w:color="auto"/>
        <w:bottom w:val="none" w:sz="0" w:space="0" w:color="auto"/>
        <w:right w:val="none" w:sz="0" w:space="0" w:color="auto"/>
      </w:divBdr>
    </w:div>
    <w:div w:id="315769957">
      <w:bodyDiv w:val="1"/>
      <w:marLeft w:val="0"/>
      <w:marRight w:val="0"/>
      <w:marTop w:val="0"/>
      <w:marBottom w:val="0"/>
      <w:divBdr>
        <w:top w:val="none" w:sz="0" w:space="0" w:color="auto"/>
        <w:left w:val="none" w:sz="0" w:space="0" w:color="auto"/>
        <w:bottom w:val="none" w:sz="0" w:space="0" w:color="auto"/>
        <w:right w:val="none" w:sz="0" w:space="0" w:color="auto"/>
      </w:divBdr>
    </w:div>
    <w:div w:id="388919120">
      <w:bodyDiv w:val="1"/>
      <w:marLeft w:val="0"/>
      <w:marRight w:val="0"/>
      <w:marTop w:val="0"/>
      <w:marBottom w:val="0"/>
      <w:divBdr>
        <w:top w:val="none" w:sz="0" w:space="0" w:color="auto"/>
        <w:left w:val="none" w:sz="0" w:space="0" w:color="auto"/>
        <w:bottom w:val="none" w:sz="0" w:space="0" w:color="auto"/>
        <w:right w:val="none" w:sz="0" w:space="0" w:color="auto"/>
      </w:divBdr>
    </w:div>
    <w:div w:id="404836465">
      <w:bodyDiv w:val="1"/>
      <w:marLeft w:val="0"/>
      <w:marRight w:val="0"/>
      <w:marTop w:val="0"/>
      <w:marBottom w:val="0"/>
      <w:divBdr>
        <w:top w:val="none" w:sz="0" w:space="0" w:color="auto"/>
        <w:left w:val="none" w:sz="0" w:space="0" w:color="auto"/>
        <w:bottom w:val="none" w:sz="0" w:space="0" w:color="auto"/>
        <w:right w:val="none" w:sz="0" w:space="0" w:color="auto"/>
      </w:divBdr>
    </w:div>
    <w:div w:id="442264983">
      <w:bodyDiv w:val="1"/>
      <w:marLeft w:val="0"/>
      <w:marRight w:val="0"/>
      <w:marTop w:val="0"/>
      <w:marBottom w:val="0"/>
      <w:divBdr>
        <w:top w:val="none" w:sz="0" w:space="0" w:color="auto"/>
        <w:left w:val="none" w:sz="0" w:space="0" w:color="auto"/>
        <w:bottom w:val="none" w:sz="0" w:space="0" w:color="auto"/>
        <w:right w:val="none" w:sz="0" w:space="0" w:color="auto"/>
      </w:divBdr>
    </w:div>
    <w:div w:id="569972297">
      <w:bodyDiv w:val="1"/>
      <w:marLeft w:val="0"/>
      <w:marRight w:val="0"/>
      <w:marTop w:val="0"/>
      <w:marBottom w:val="0"/>
      <w:divBdr>
        <w:top w:val="none" w:sz="0" w:space="0" w:color="auto"/>
        <w:left w:val="none" w:sz="0" w:space="0" w:color="auto"/>
        <w:bottom w:val="none" w:sz="0" w:space="0" w:color="auto"/>
        <w:right w:val="none" w:sz="0" w:space="0" w:color="auto"/>
      </w:divBdr>
    </w:div>
    <w:div w:id="719282614">
      <w:bodyDiv w:val="1"/>
      <w:marLeft w:val="0"/>
      <w:marRight w:val="0"/>
      <w:marTop w:val="0"/>
      <w:marBottom w:val="0"/>
      <w:divBdr>
        <w:top w:val="none" w:sz="0" w:space="0" w:color="auto"/>
        <w:left w:val="none" w:sz="0" w:space="0" w:color="auto"/>
        <w:bottom w:val="none" w:sz="0" w:space="0" w:color="auto"/>
        <w:right w:val="none" w:sz="0" w:space="0" w:color="auto"/>
      </w:divBdr>
    </w:div>
    <w:div w:id="734474081">
      <w:bodyDiv w:val="1"/>
      <w:marLeft w:val="0"/>
      <w:marRight w:val="0"/>
      <w:marTop w:val="0"/>
      <w:marBottom w:val="0"/>
      <w:divBdr>
        <w:top w:val="none" w:sz="0" w:space="0" w:color="auto"/>
        <w:left w:val="none" w:sz="0" w:space="0" w:color="auto"/>
        <w:bottom w:val="none" w:sz="0" w:space="0" w:color="auto"/>
        <w:right w:val="none" w:sz="0" w:space="0" w:color="auto"/>
      </w:divBdr>
    </w:div>
    <w:div w:id="799223133">
      <w:bodyDiv w:val="1"/>
      <w:marLeft w:val="0"/>
      <w:marRight w:val="0"/>
      <w:marTop w:val="0"/>
      <w:marBottom w:val="0"/>
      <w:divBdr>
        <w:top w:val="none" w:sz="0" w:space="0" w:color="auto"/>
        <w:left w:val="none" w:sz="0" w:space="0" w:color="auto"/>
        <w:bottom w:val="none" w:sz="0" w:space="0" w:color="auto"/>
        <w:right w:val="none" w:sz="0" w:space="0" w:color="auto"/>
      </w:divBdr>
    </w:div>
    <w:div w:id="1000886465">
      <w:bodyDiv w:val="1"/>
      <w:marLeft w:val="0"/>
      <w:marRight w:val="0"/>
      <w:marTop w:val="0"/>
      <w:marBottom w:val="0"/>
      <w:divBdr>
        <w:top w:val="none" w:sz="0" w:space="0" w:color="auto"/>
        <w:left w:val="none" w:sz="0" w:space="0" w:color="auto"/>
        <w:bottom w:val="none" w:sz="0" w:space="0" w:color="auto"/>
        <w:right w:val="none" w:sz="0" w:space="0" w:color="auto"/>
      </w:divBdr>
    </w:div>
    <w:div w:id="1056853735">
      <w:bodyDiv w:val="1"/>
      <w:marLeft w:val="0"/>
      <w:marRight w:val="0"/>
      <w:marTop w:val="0"/>
      <w:marBottom w:val="0"/>
      <w:divBdr>
        <w:top w:val="none" w:sz="0" w:space="0" w:color="auto"/>
        <w:left w:val="none" w:sz="0" w:space="0" w:color="auto"/>
        <w:bottom w:val="none" w:sz="0" w:space="0" w:color="auto"/>
        <w:right w:val="none" w:sz="0" w:space="0" w:color="auto"/>
      </w:divBdr>
    </w:div>
    <w:div w:id="1171262712">
      <w:bodyDiv w:val="1"/>
      <w:marLeft w:val="0"/>
      <w:marRight w:val="0"/>
      <w:marTop w:val="0"/>
      <w:marBottom w:val="0"/>
      <w:divBdr>
        <w:top w:val="none" w:sz="0" w:space="0" w:color="auto"/>
        <w:left w:val="none" w:sz="0" w:space="0" w:color="auto"/>
        <w:bottom w:val="none" w:sz="0" w:space="0" w:color="auto"/>
        <w:right w:val="none" w:sz="0" w:space="0" w:color="auto"/>
      </w:divBdr>
    </w:div>
    <w:div w:id="1209754871">
      <w:bodyDiv w:val="1"/>
      <w:marLeft w:val="0"/>
      <w:marRight w:val="0"/>
      <w:marTop w:val="0"/>
      <w:marBottom w:val="0"/>
      <w:divBdr>
        <w:top w:val="none" w:sz="0" w:space="0" w:color="auto"/>
        <w:left w:val="none" w:sz="0" w:space="0" w:color="auto"/>
        <w:bottom w:val="none" w:sz="0" w:space="0" w:color="auto"/>
        <w:right w:val="none" w:sz="0" w:space="0" w:color="auto"/>
      </w:divBdr>
    </w:div>
    <w:div w:id="1398671148">
      <w:bodyDiv w:val="1"/>
      <w:marLeft w:val="0"/>
      <w:marRight w:val="0"/>
      <w:marTop w:val="0"/>
      <w:marBottom w:val="0"/>
      <w:divBdr>
        <w:top w:val="none" w:sz="0" w:space="0" w:color="auto"/>
        <w:left w:val="none" w:sz="0" w:space="0" w:color="auto"/>
        <w:bottom w:val="none" w:sz="0" w:space="0" w:color="auto"/>
        <w:right w:val="none" w:sz="0" w:space="0" w:color="auto"/>
      </w:divBdr>
    </w:div>
    <w:div w:id="1435130070">
      <w:bodyDiv w:val="1"/>
      <w:marLeft w:val="0"/>
      <w:marRight w:val="0"/>
      <w:marTop w:val="0"/>
      <w:marBottom w:val="0"/>
      <w:divBdr>
        <w:top w:val="none" w:sz="0" w:space="0" w:color="auto"/>
        <w:left w:val="none" w:sz="0" w:space="0" w:color="auto"/>
        <w:bottom w:val="none" w:sz="0" w:space="0" w:color="auto"/>
        <w:right w:val="none" w:sz="0" w:space="0" w:color="auto"/>
      </w:divBdr>
    </w:div>
    <w:div w:id="1456362074">
      <w:bodyDiv w:val="1"/>
      <w:marLeft w:val="0"/>
      <w:marRight w:val="0"/>
      <w:marTop w:val="0"/>
      <w:marBottom w:val="0"/>
      <w:divBdr>
        <w:top w:val="none" w:sz="0" w:space="0" w:color="auto"/>
        <w:left w:val="none" w:sz="0" w:space="0" w:color="auto"/>
        <w:bottom w:val="none" w:sz="0" w:space="0" w:color="auto"/>
        <w:right w:val="none" w:sz="0" w:space="0" w:color="auto"/>
      </w:divBdr>
    </w:div>
    <w:div w:id="1505633129">
      <w:bodyDiv w:val="1"/>
      <w:marLeft w:val="0"/>
      <w:marRight w:val="0"/>
      <w:marTop w:val="0"/>
      <w:marBottom w:val="0"/>
      <w:divBdr>
        <w:top w:val="none" w:sz="0" w:space="0" w:color="auto"/>
        <w:left w:val="none" w:sz="0" w:space="0" w:color="auto"/>
        <w:bottom w:val="none" w:sz="0" w:space="0" w:color="auto"/>
        <w:right w:val="none" w:sz="0" w:space="0" w:color="auto"/>
      </w:divBdr>
    </w:div>
    <w:div w:id="1529297686">
      <w:bodyDiv w:val="1"/>
      <w:marLeft w:val="0"/>
      <w:marRight w:val="0"/>
      <w:marTop w:val="0"/>
      <w:marBottom w:val="0"/>
      <w:divBdr>
        <w:top w:val="none" w:sz="0" w:space="0" w:color="auto"/>
        <w:left w:val="none" w:sz="0" w:space="0" w:color="auto"/>
        <w:bottom w:val="none" w:sz="0" w:space="0" w:color="auto"/>
        <w:right w:val="none" w:sz="0" w:space="0" w:color="auto"/>
      </w:divBdr>
    </w:div>
    <w:div w:id="1532499691">
      <w:bodyDiv w:val="1"/>
      <w:marLeft w:val="0"/>
      <w:marRight w:val="0"/>
      <w:marTop w:val="0"/>
      <w:marBottom w:val="0"/>
      <w:divBdr>
        <w:top w:val="none" w:sz="0" w:space="0" w:color="auto"/>
        <w:left w:val="none" w:sz="0" w:space="0" w:color="auto"/>
        <w:bottom w:val="none" w:sz="0" w:space="0" w:color="auto"/>
        <w:right w:val="none" w:sz="0" w:space="0" w:color="auto"/>
      </w:divBdr>
    </w:div>
    <w:div w:id="1559168324">
      <w:bodyDiv w:val="1"/>
      <w:marLeft w:val="0"/>
      <w:marRight w:val="0"/>
      <w:marTop w:val="0"/>
      <w:marBottom w:val="0"/>
      <w:divBdr>
        <w:top w:val="none" w:sz="0" w:space="0" w:color="auto"/>
        <w:left w:val="none" w:sz="0" w:space="0" w:color="auto"/>
        <w:bottom w:val="none" w:sz="0" w:space="0" w:color="auto"/>
        <w:right w:val="none" w:sz="0" w:space="0" w:color="auto"/>
      </w:divBdr>
    </w:div>
    <w:div w:id="1572039587">
      <w:bodyDiv w:val="1"/>
      <w:marLeft w:val="0"/>
      <w:marRight w:val="0"/>
      <w:marTop w:val="0"/>
      <w:marBottom w:val="0"/>
      <w:divBdr>
        <w:top w:val="none" w:sz="0" w:space="0" w:color="auto"/>
        <w:left w:val="none" w:sz="0" w:space="0" w:color="auto"/>
        <w:bottom w:val="none" w:sz="0" w:space="0" w:color="auto"/>
        <w:right w:val="none" w:sz="0" w:space="0" w:color="auto"/>
      </w:divBdr>
    </w:div>
    <w:div w:id="1583026297">
      <w:bodyDiv w:val="1"/>
      <w:marLeft w:val="0"/>
      <w:marRight w:val="0"/>
      <w:marTop w:val="0"/>
      <w:marBottom w:val="0"/>
      <w:divBdr>
        <w:top w:val="none" w:sz="0" w:space="0" w:color="auto"/>
        <w:left w:val="none" w:sz="0" w:space="0" w:color="auto"/>
        <w:bottom w:val="none" w:sz="0" w:space="0" w:color="auto"/>
        <w:right w:val="none" w:sz="0" w:space="0" w:color="auto"/>
      </w:divBdr>
    </w:div>
    <w:div w:id="1592229436">
      <w:bodyDiv w:val="1"/>
      <w:marLeft w:val="0"/>
      <w:marRight w:val="0"/>
      <w:marTop w:val="0"/>
      <w:marBottom w:val="0"/>
      <w:divBdr>
        <w:top w:val="none" w:sz="0" w:space="0" w:color="auto"/>
        <w:left w:val="none" w:sz="0" w:space="0" w:color="auto"/>
        <w:bottom w:val="none" w:sz="0" w:space="0" w:color="auto"/>
        <w:right w:val="none" w:sz="0" w:space="0" w:color="auto"/>
      </w:divBdr>
    </w:div>
    <w:div w:id="1771662702">
      <w:bodyDiv w:val="1"/>
      <w:marLeft w:val="0"/>
      <w:marRight w:val="0"/>
      <w:marTop w:val="0"/>
      <w:marBottom w:val="0"/>
      <w:divBdr>
        <w:top w:val="none" w:sz="0" w:space="0" w:color="auto"/>
        <w:left w:val="none" w:sz="0" w:space="0" w:color="auto"/>
        <w:bottom w:val="none" w:sz="0" w:space="0" w:color="auto"/>
        <w:right w:val="none" w:sz="0" w:space="0" w:color="auto"/>
      </w:divBdr>
    </w:div>
    <w:div w:id="1844204404">
      <w:bodyDiv w:val="1"/>
      <w:marLeft w:val="0"/>
      <w:marRight w:val="0"/>
      <w:marTop w:val="0"/>
      <w:marBottom w:val="0"/>
      <w:divBdr>
        <w:top w:val="none" w:sz="0" w:space="0" w:color="auto"/>
        <w:left w:val="none" w:sz="0" w:space="0" w:color="auto"/>
        <w:bottom w:val="none" w:sz="0" w:space="0" w:color="auto"/>
        <w:right w:val="none" w:sz="0" w:space="0" w:color="auto"/>
      </w:divBdr>
    </w:div>
    <w:div w:id="1902205588">
      <w:bodyDiv w:val="1"/>
      <w:marLeft w:val="0"/>
      <w:marRight w:val="0"/>
      <w:marTop w:val="0"/>
      <w:marBottom w:val="0"/>
      <w:divBdr>
        <w:top w:val="none" w:sz="0" w:space="0" w:color="auto"/>
        <w:left w:val="none" w:sz="0" w:space="0" w:color="auto"/>
        <w:bottom w:val="none" w:sz="0" w:space="0" w:color="auto"/>
        <w:right w:val="none" w:sz="0" w:space="0" w:color="auto"/>
      </w:divBdr>
    </w:div>
    <w:div w:id="1905023964">
      <w:bodyDiv w:val="1"/>
      <w:marLeft w:val="0"/>
      <w:marRight w:val="0"/>
      <w:marTop w:val="0"/>
      <w:marBottom w:val="0"/>
      <w:divBdr>
        <w:top w:val="none" w:sz="0" w:space="0" w:color="auto"/>
        <w:left w:val="none" w:sz="0" w:space="0" w:color="auto"/>
        <w:bottom w:val="none" w:sz="0" w:space="0" w:color="auto"/>
        <w:right w:val="none" w:sz="0" w:space="0" w:color="auto"/>
      </w:divBdr>
    </w:div>
    <w:div w:id="203739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82F33-FFBB-4C99-B5A7-628FA5952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4035</Words>
  <Characters>22196</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Alexander, Estepa Becerra</dc:creator>
  <cp:keywords/>
  <dc:description/>
  <cp:lastModifiedBy>Sonia Gigliola, Corchuelo Parra</cp:lastModifiedBy>
  <cp:revision>2</cp:revision>
  <dcterms:created xsi:type="dcterms:W3CDTF">2026-05-28T05:02:00Z</dcterms:created>
  <dcterms:modified xsi:type="dcterms:W3CDTF">2026-05-28T05:02:00Z</dcterms:modified>
</cp:coreProperties>
</file>